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A5F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5F1E" w:rsidRDefault="00DA5F1E" w:rsidP="00DA5F1E">
            <w:pPr>
              <w:pStyle w:val="ConsPlusNormal"/>
              <w:outlineLvl w:val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5F1E" w:rsidRDefault="00DA5F1E" w:rsidP="00DA5F1E">
            <w:pPr>
              <w:pStyle w:val="ConsPlusNormal"/>
              <w:jc w:val="right"/>
              <w:outlineLvl w:val="0"/>
            </w:pPr>
            <w:r>
              <w:t>Извлечение</w:t>
            </w:r>
          </w:p>
        </w:tc>
      </w:tr>
      <w:tr w:rsidR="00DA5F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5F1E" w:rsidRDefault="00DA5F1E" w:rsidP="00DA5F1E">
            <w:pPr>
              <w:pStyle w:val="ConsPlusNormal"/>
              <w:outlineLvl w:val="0"/>
            </w:pPr>
            <w:r>
              <w:t>28 апреля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5F1E" w:rsidRDefault="00DA5F1E" w:rsidP="00DA5F1E">
            <w:pPr>
              <w:pStyle w:val="ConsPlusNormal"/>
              <w:jc w:val="right"/>
              <w:outlineLvl w:val="0"/>
            </w:pPr>
            <w:r>
              <w:t>N 2</w:t>
            </w:r>
          </w:p>
        </w:tc>
      </w:tr>
    </w:tbl>
    <w:p w:rsidR="00DA5F1E" w:rsidRDefault="00DA5F1E" w:rsidP="00DA5F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5F1E" w:rsidRDefault="00DA5F1E" w:rsidP="00DA5F1E">
      <w:pPr>
        <w:pStyle w:val="ConsPlusNormal"/>
        <w:jc w:val="both"/>
      </w:pPr>
    </w:p>
    <w:p w:rsidR="00DA5F1E" w:rsidRDefault="00DA5F1E" w:rsidP="00DA5F1E">
      <w:pPr>
        <w:pStyle w:val="ConsPlusTitle"/>
        <w:jc w:val="center"/>
      </w:pPr>
      <w:r>
        <w:t>ЗАКОН</w:t>
      </w:r>
    </w:p>
    <w:p w:rsidR="00DA5F1E" w:rsidRDefault="00DA5F1E" w:rsidP="00DA5F1E">
      <w:pPr>
        <w:pStyle w:val="ConsPlusTitle"/>
        <w:jc w:val="center"/>
      </w:pPr>
    </w:p>
    <w:p w:rsidR="00DA5F1E" w:rsidRDefault="00DA5F1E" w:rsidP="00DA5F1E">
      <w:pPr>
        <w:pStyle w:val="ConsPlusTitle"/>
        <w:jc w:val="center"/>
      </w:pPr>
      <w:r>
        <w:t>ЧУВАШСКОЙ РЕСПУБЛИКИ</w:t>
      </w:r>
    </w:p>
    <w:p w:rsidR="00DA5F1E" w:rsidRDefault="00DA5F1E" w:rsidP="00DA5F1E">
      <w:pPr>
        <w:pStyle w:val="ConsPlusTitle"/>
        <w:jc w:val="center"/>
      </w:pPr>
    </w:p>
    <w:p w:rsidR="00DA5F1E" w:rsidRDefault="00DA5F1E" w:rsidP="00DA5F1E">
      <w:pPr>
        <w:pStyle w:val="ConsPlusTitle"/>
        <w:jc w:val="center"/>
      </w:pPr>
      <w:r>
        <w:t>О МЕСТНОМ РЕФЕРЕНДУМЕ И ГОЛОСОВАНИИ</w:t>
      </w:r>
    </w:p>
    <w:p w:rsidR="00DA5F1E" w:rsidRDefault="00DA5F1E" w:rsidP="00DA5F1E">
      <w:pPr>
        <w:pStyle w:val="ConsPlusTitle"/>
        <w:jc w:val="center"/>
      </w:pPr>
      <w:r>
        <w:t>ПО ВОПРОСАМ ИЗМЕНЕНИЯ ГРАНИЦ МУНИЦИПАЛЬНОГО ОБРАЗОВАНИЯ,</w:t>
      </w:r>
    </w:p>
    <w:p w:rsidR="00DA5F1E" w:rsidRDefault="00DA5F1E" w:rsidP="00DA5F1E">
      <w:pPr>
        <w:pStyle w:val="ConsPlusTitle"/>
        <w:jc w:val="center"/>
      </w:pPr>
      <w:r>
        <w:t>ПРЕОБРАЗОВАНИЯ МУНИЦИПАЛЬНОГО ОБРАЗОВАНИЯ, ОТЗЫВУ ДЕПУТАТА,</w:t>
      </w:r>
    </w:p>
    <w:p w:rsidR="00DA5F1E" w:rsidRDefault="00DA5F1E" w:rsidP="00DA5F1E">
      <w:pPr>
        <w:pStyle w:val="ConsPlusTitle"/>
        <w:jc w:val="center"/>
      </w:pPr>
      <w:r>
        <w:t>ЧЛЕНА ВЫБОРНОГО ОРГАНА МЕСТНОГО САМОУПРАВЛЕНИЯ,</w:t>
      </w:r>
    </w:p>
    <w:p w:rsidR="00DA5F1E" w:rsidRDefault="00DA5F1E" w:rsidP="00DA5F1E">
      <w:pPr>
        <w:pStyle w:val="ConsPlusTitle"/>
        <w:jc w:val="center"/>
      </w:pPr>
      <w:r>
        <w:t>ВЫБОРНОГО ДОЛЖНОСТНОГО ЛИЦА МЕСТНОГО САМОУПРАВЛЕНИЯ</w:t>
      </w:r>
    </w:p>
    <w:p w:rsidR="00DA5F1E" w:rsidRDefault="00DA5F1E" w:rsidP="00DA5F1E">
      <w:pPr>
        <w:pStyle w:val="ConsPlusNormal"/>
        <w:jc w:val="both"/>
      </w:pPr>
    </w:p>
    <w:p w:rsidR="00DA5F1E" w:rsidRDefault="00DA5F1E" w:rsidP="00DA5F1E">
      <w:pPr>
        <w:pStyle w:val="ConsPlusNormal"/>
        <w:jc w:val="right"/>
      </w:pPr>
      <w:proofErr w:type="gramStart"/>
      <w:r>
        <w:t>Принят</w:t>
      </w:r>
      <w:proofErr w:type="gramEnd"/>
    </w:p>
    <w:p w:rsidR="00DA5F1E" w:rsidRDefault="00DA5F1E" w:rsidP="00DA5F1E">
      <w:pPr>
        <w:pStyle w:val="ConsPlusNormal"/>
        <w:jc w:val="right"/>
      </w:pPr>
      <w:r>
        <w:t>Государственным Советом</w:t>
      </w:r>
    </w:p>
    <w:p w:rsidR="00DA5F1E" w:rsidRDefault="00DA5F1E" w:rsidP="00DA5F1E">
      <w:pPr>
        <w:pStyle w:val="ConsPlusNormal"/>
        <w:jc w:val="right"/>
      </w:pPr>
      <w:r>
        <w:t>Чувашской Республики</w:t>
      </w:r>
    </w:p>
    <w:p w:rsidR="00DA5F1E" w:rsidRDefault="00DA5F1E" w:rsidP="00DA5F1E">
      <w:pPr>
        <w:pStyle w:val="ConsPlusNormal"/>
        <w:jc w:val="right"/>
      </w:pPr>
      <w:r>
        <w:t>16 апреля 2004 года</w:t>
      </w:r>
    </w:p>
    <w:p w:rsidR="00DA5F1E" w:rsidRDefault="00DA5F1E" w:rsidP="00DA5F1E">
      <w:pPr>
        <w:pStyle w:val="ConsPlusTitle"/>
        <w:spacing w:before="220"/>
        <w:outlineLvl w:val="1"/>
      </w:pPr>
      <w:r>
        <w:t>…</w:t>
      </w:r>
    </w:p>
    <w:p w:rsidR="00DA5F1E" w:rsidRDefault="00DA5F1E" w:rsidP="00DA5F1E">
      <w:pPr>
        <w:pStyle w:val="ConsPlusTitle"/>
        <w:spacing w:before="220"/>
        <w:jc w:val="center"/>
        <w:outlineLvl w:val="1"/>
      </w:pPr>
      <w:r>
        <w:t>Глава 2. РЕГИСТРАЦИЯ (УЧЕТ) УЧАСТНИКОВ МЕСТНОГО РЕФЕРЕНДУМА,</w:t>
      </w:r>
    </w:p>
    <w:p w:rsidR="00DA5F1E" w:rsidRDefault="00DA5F1E" w:rsidP="00DA5F1E">
      <w:pPr>
        <w:pStyle w:val="ConsPlusTitle"/>
        <w:jc w:val="center"/>
      </w:pPr>
      <w:r>
        <w:t>СОСТАВЛЕНИЕ СПИСКОВ УЧАСТНИКОВ МЕСТНОГО РЕФЕРЕНДУМА,</w:t>
      </w:r>
    </w:p>
    <w:p w:rsidR="00DA5F1E" w:rsidRDefault="00DA5F1E" w:rsidP="00DA5F1E">
      <w:pPr>
        <w:pStyle w:val="ConsPlusTitle"/>
        <w:jc w:val="center"/>
      </w:pPr>
      <w:r>
        <w:t>ОБРАЗОВАНИЕ УЧАСТКОВ МЕСТНОГО РЕФЕРЕНДУМА</w:t>
      </w:r>
    </w:p>
    <w:p w:rsidR="00DA5F1E" w:rsidRDefault="00DA5F1E" w:rsidP="00DA5F1E">
      <w:pPr>
        <w:pStyle w:val="ConsPlusTitle"/>
        <w:spacing w:before="220"/>
        <w:jc w:val="both"/>
        <w:outlineLvl w:val="2"/>
      </w:pPr>
      <w:r>
        <w:t>…</w:t>
      </w:r>
    </w:p>
    <w:p w:rsidR="00DA5F1E" w:rsidRDefault="00DA5F1E" w:rsidP="00DA5F1E">
      <w:pPr>
        <w:pStyle w:val="ConsPlusTitle"/>
        <w:spacing w:before="220"/>
        <w:ind w:firstLine="540"/>
        <w:jc w:val="both"/>
        <w:outlineLvl w:val="2"/>
      </w:pPr>
      <w:r>
        <w:t>Статья 13. Составление списков участников местного референдума</w:t>
      </w:r>
    </w:p>
    <w:p w:rsidR="00DA5F1E" w:rsidRDefault="00DA5F1E" w:rsidP="00DA5F1E">
      <w:pPr>
        <w:pStyle w:val="ConsPlusNormal"/>
        <w:spacing w:before="220"/>
        <w:ind w:firstLine="540"/>
        <w:jc w:val="both"/>
      </w:pPr>
      <w:r>
        <w:t xml:space="preserve">1. В целях реализации прав участников местного референдума избирательными комиссиями муниципального образования, территориальными избирательными комиссиями составляются списки участников местного референдума на основании сведений, предоставляемых по установленной </w:t>
      </w:r>
      <w:proofErr w:type="gramStart"/>
      <w:r>
        <w:t>форме</w:t>
      </w:r>
      <w:proofErr w:type="gramEnd"/>
      <w:r>
        <w:t xml:space="preserve"> уполномоченным на то органом или уполномоченным должностным лицом местного самоуправления, осуществляющим регистрацию участников местного референдума в соответствии с законодательством Российской Федерации.</w:t>
      </w:r>
    </w:p>
    <w:p w:rsidR="00DA5F1E" w:rsidRDefault="00DA5F1E" w:rsidP="00DA5F1E">
      <w:pPr>
        <w:pStyle w:val="ConsPlusTitle"/>
        <w:spacing w:before="220"/>
        <w:outlineLvl w:val="1"/>
      </w:pPr>
      <w:r>
        <w:t>…</w:t>
      </w:r>
    </w:p>
    <w:p w:rsidR="00DA5F1E" w:rsidRDefault="00DA5F1E" w:rsidP="00DA5F1E">
      <w:pPr>
        <w:pStyle w:val="ConsPlusTitle"/>
        <w:spacing w:before="220"/>
        <w:jc w:val="center"/>
        <w:outlineLvl w:val="1"/>
      </w:pPr>
      <w:r>
        <w:t>Глава 3. КОМИССИИ МЕСТНОГО РЕФЕРЕНДУМА</w:t>
      </w:r>
    </w:p>
    <w:p w:rsidR="00DA5F1E" w:rsidRDefault="00DA5F1E" w:rsidP="00DA5F1E">
      <w:pPr>
        <w:pStyle w:val="ConsPlusTitle"/>
        <w:spacing w:before="220"/>
        <w:jc w:val="both"/>
        <w:outlineLvl w:val="2"/>
      </w:pPr>
      <w:r>
        <w:t>…</w:t>
      </w:r>
    </w:p>
    <w:p w:rsidR="00DA5F1E" w:rsidRDefault="00DA5F1E" w:rsidP="00DA5F1E">
      <w:pPr>
        <w:pStyle w:val="ConsPlusTitle"/>
        <w:spacing w:before="220"/>
        <w:ind w:firstLine="540"/>
        <w:jc w:val="both"/>
        <w:outlineLvl w:val="2"/>
      </w:pPr>
      <w:r>
        <w:t>Статья 21. Гласность в деятельности комиссий</w:t>
      </w:r>
    </w:p>
    <w:p w:rsidR="00DA5F1E" w:rsidRDefault="00DA5F1E" w:rsidP="00DA5F1E">
      <w:pPr>
        <w:pStyle w:val="ConsPlusNormal"/>
        <w:jc w:val="both"/>
      </w:pPr>
    </w:p>
    <w:p w:rsidR="00DA5F1E" w:rsidRDefault="00DA5F1E" w:rsidP="00DA5F1E">
      <w:pPr>
        <w:pStyle w:val="ConsPlusNormal"/>
        <w:ind w:firstLine="540"/>
        <w:jc w:val="both"/>
      </w:pPr>
      <w:r>
        <w:t xml:space="preserve">Обеспечение принципа гласности в деятельности комиссий регулируется </w:t>
      </w:r>
      <w:hyperlink r:id="rId5" w:history="1">
        <w:r>
          <w:rPr>
            <w:color w:val="0000FF"/>
          </w:rPr>
          <w:t>статьей 30</w:t>
        </w:r>
      </w:hyperlink>
      <w:r>
        <w:t xml:space="preserve"> Федерального закона.</w:t>
      </w:r>
    </w:p>
    <w:p w:rsidR="00DA5F1E" w:rsidRDefault="00DA5F1E" w:rsidP="00DA5F1E">
      <w:pPr>
        <w:pStyle w:val="ConsPlusTitle"/>
        <w:spacing w:before="220"/>
        <w:outlineLvl w:val="1"/>
      </w:pPr>
      <w:r>
        <w:t>…</w:t>
      </w:r>
    </w:p>
    <w:p w:rsidR="00DA5F1E" w:rsidRDefault="00DA5F1E" w:rsidP="00DA5F1E">
      <w:pPr>
        <w:pStyle w:val="ConsPlusTitle"/>
        <w:spacing w:before="220"/>
        <w:jc w:val="center"/>
        <w:outlineLvl w:val="1"/>
      </w:pPr>
    </w:p>
    <w:p w:rsidR="00DA5F1E" w:rsidRDefault="00DA5F1E">
      <w:pPr>
        <w:rPr>
          <w:rFonts w:ascii="Calibri" w:eastAsia="Times New Roman" w:hAnsi="Calibri" w:cs="Calibri"/>
          <w:b/>
          <w:szCs w:val="20"/>
          <w:lang w:eastAsia="ru-RU"/>
        </w:rPr>
      </w:pPr>
      <w:r>
        <w:br w:type="page"/>
      </w:r>
    </w:p>
    <w:p w:rsidR="00DA5F1E" w:rsidRDefault="00DA5F1E" w:rsidP="00DA5F1E">
      <w:pPr>
        <w:pStyle w:val="ConsPlusTitle"/>
        <w:spacing w:before="220"/>
        <w:jc w:val="center"/>
        <w:outlineLvl w:val="1"/>
      </w:pPr>
      <w:bookmarkStart w:id="0" w:name="_GoBack"/>
      <w:bookmarkEnd w:id="0"/>
      <w:r>
        <w:lastRenderedPageBreak/>
        <w:t>Глава 7. ОРГАНИЗАЦИЯ И ОСУЩЕСТВЛЕНИЕ ГОЛОСОВАНИЯ,</w:t>
      </w:r>
    </w:p>
    <w:p w:rsidR="00DA5F1E" w:rsidRDefault="00DA5F1E" w:rsidP="00DA5F1E">
      <w:pPr>
        <w:pStyle w:val="ConsPlusTitle"/>
        <w:jc w:val="center"/>
      </w:pPr>
      <w:r>
        <w:t>УСТАНОВЛЕНИЕ ИТОГОВ ГОЛОСОВАНИЯ, ОПРЕДЕЛЕНИЕ РЕЗУЛЬТАТОВ</w:t>
      </w:r>
    </w:p>
    <w:p w:rsidR="00DA5F1E" w:rsidRDefault="00DA5F1E" w:rsidP="00DA5F1E">
      <w:pPr>
        <w:pStyle w:val="ConsPlusTitle"/>
        <w:jc w:val="center"/>
      </w:pPr>
      <w:r>
        <w:t>МЕСТНОГО РЕФЕРЕНДУМА И ИХ ОПУБЛИКОВАНИЕ</w:t>
      </w:r>
    </w:p>
    <w:p w:rsidR="00DA5F1E" w:rsidRDefault="00DA5F1E" w:rsidP="00DA5F1E">
      <w:pPr>
        <w:pStyle w:val="ConsPlusTitle"/>
        <w:spacing w:before="220"/>
        <w:jc w:val="both"/>
        <w:outlineLvl w:val="2"/>
      </w:pPr>
      <w:r>
        <w:t>…</w:t>
      </w:r>
    </w:p>
    <w:p w:rsidR="00DA5F1E" w:rsidRDefault="00DA5F1E" w:rsidP="00DA5F1E">
      <w:pPr>
        <w:pStyle w:val="ConsPlusTitle"/>
        <w:spacing w:before="220"/>
        <w:ind w:firstLine="540"/>
        <w:jc w:val="both"/>
        <w:outlineLvl w:val="2"/>
      </w:pPr>
      <w:r>
        <w:t>Статья 40. Порядок голосования участников местного референдума вне помещения для голосования</w:t>
      </w:r>
    </w:p>
    <w:p w:rsidR="00DA5F1E" w:rsidRDefault="00DA5F1E" w:rsidP="00DA5F1E">
      <w:pPr>
        <w:pStyle w:val="ConsPlusNormal"/>
        <w:jc w:val="both"/>
      </w:pPr>
    </w:p>
    <w:p w:rsidR="00DA5F1E" w:rsidRDefault="00DA5F1E" w:rsidP="00DA5F1E">
      <w:pPr>
        <w:pStyle w:val="ConsPlusNormal"/>
        <w:ind w:firstLine="540"/>
        <w:jc w:val="both"/>
      </w:pPr>
      <w:r>
        <w:t xml:space="preserve">1. Участковая комиссия обязана обеспечить возможность участия в </w:t>
      </w:r>
      <w:proofErr w:type="gramStart"/>
      <w:r>
        <w:t>голосовании</w:t>
      </w:r>
      <w:proofErr w:type="gramEnd"/>
      <w:r>
        <w:t xml:space="preserve"> участникам местного референдума, которые имеют право быть включенными или включены в список участников местного референдума на данном участке местного референдума и не могут самостоятельно по уважительным причинам (по состоянию здоровья, инвалидности) прибыть в помещение для голосования.</w:t>
      </w:r>
    </w:p>
    <w:p w:rsidR="00257F86" w:rsidRDefault="00257F86" w:rsidP="00DA5F1E">
      <w:pPr>
        <w:spacing w:line="240" w:lineRule="auto"/>
      </w:pPr>
    </w:p>
    <w:sectPr w:rsidR="00257F86" w:rsidSect="00DA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1E"/>
    <w:rsid w:val="00257F86"/>
    <w:rsid w:val="00DA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69D84F757F297E50C4E8FD6F1FB43FC6ED1064D25BE3246E0F0687AB705FCD9D8913DA46269A4F4DFBD9B94F97170EA05D92F824D00153G2W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Трофимова Кристина</cp:lastModifiedBy>
  <cp:revision>1</cp:revision>
  <dcterms:created xsi:type="dcterms:W3CDTF">2019-01-14T06:22:00Z</dcterms:created>
  <dcterms:modified xsi:type="dcterms:W3CDTF">2019-01-14T06:26:00Z</dcterms:modified>
</cp:coreProperties>
</file>