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06" w:rsidRDefault="003C0BCD" w:rsidP="003C0BCD">
      <w:pPr>
        <w:pStyle w:val="ConsPlusTitlePage"/>
        <w:jc w:val="right"/>
      </w:pPr>
      <w:r>
        <w:t>Извлечение</w:t>
      </w:r>
    </w:p>
    <w:p w:rsidR="00D81706" w:rsidRDefault="00D817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17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>
            <w:pPr>
              <w:pStyle w:val="ConsPlusNormal"/>
              <w:outlineLvl w:val="0"/>
            </w:pPr>
            <w:r>
              <w:t>23 июля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>
            <w:pPr>
              <w:pStyle w:val="ConsPlusNormal"/>
              <w:jc w:val="right"/>
              <w:outlineLvl w:val="0"/>
            </w:pPr>
            <w:r>
              <w:t>N 38</w:t>
            </w:r>
          </w:p>
        </w:tc>
      </w:tr>
    </w:tbl>
    <w:p w:rsidR="00D81706" w:rsidRDefault="00D8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706" w:rsidRDefault="00D81706">
      <w:pPr>
        <w:pStyle w:val="ConsPlusNormal"/>
        <w:jc w:val="both"/>
      </w:pPr>
    </w:p>
    <w:p w:rsidR="00D81706" w:rsidRDefault="00D81706">
      <w:pPr>
        <w:pStyle w:val="ConsPlusTitle"/>
        <w:jc w:val="center"/>
      </w:pPr>
      <w:r>
        <w:t>ЗАКОН</w:t>
      </w:r>
    </w:p>
    <w:p w:rsidR="00D81706" w:rsidRDefault="00D81706">
      <w:pPr>
        <w:pStyle w:val="ConsPlusTitle"/>
        <w:jc w:val="center"/>
      </w:pPr>
    </w:p>
    <w:p w:rsidR="00D81706" w:rsidRDefault="00D81706">
      <w:pPr>
        <w:pStyle w:val="ConsPlusTitle"/>
        <w:jc w:val="center"/>
      </w:pPr>
      <w:r>
        <w:t>ЧУВАШСКОЙ РЕСПУБЛИКИ</w:t>
      </w:r>
    </w:p>
    <w:p w:rsidR="00D81706" w:rsidRDefault="00D81706">
      <w:pPr>
        <w:pStyle w:val="ConsPlusTitle"/>
        <w:jc w:val="center"/>
      </w:pPr>
    </w:p>
    <w:p w:rsidR="00D81706" w:rsidRDefault="00D81706">
      <w:pPr>
        <w:pStyle w:val="ConsPlusTitle"/>
        <w:jc w:val="center"/>
      </w:pPr>
      <w:r>
        <w:t>О ВОПРОСАХ НАЛОГОВОГО РЕГУЛИРОВАНИЯ</w:t>
      </w:r>
    </w:p>
    <w:p w:rsidR="00D81706" w:rsidRDefault="00D81706">
      <w:pPr>
        <w:pStyle w:val="ConsPlusTitle"/>
        <w:jc w:val="center"/>
      </w:pPr>
      <w:r>
        <w:t xml:space="preserve">В ЧУВАШСКОЙ РЕСПУБЛИКЕ, </w:t>
      </w:r>
      <w:proofErr w:type="gramStart"/>
      <w:r>
        <w:t>ОТНЕСЕННЫХ</w:t>
      </w:r>
      <w:proofErr w:type="gramEnd"/>
      <w:r>
        <w:t xml:space="preserve"> ЗАКОНОДАТЕЛЬСТВОМ</w:t>
      </w:r>
    </w:p>
    <w:p w:rsidR="00D81706" w:rsidRDefault="00D81706">
      <w:pPr>
        <w:pStyle w:val="ConsPlusTitle"/>
        <w:jc w:val="center"/>
      </w:pPr>
      <w:r>
        <w:t>РОССИЙСКОЙ ФЕДЕРАЦИИ О НАЛОГАХ И СБОРАХ К ВЕДЕНИЮ</w:t>
      </w:r>
    </w:p>
    <w:p w:rsidR="00D81706" w:rsidRDefault="00D81706">
      <w:pPr>
        <w:pStyle w:val="ConsPlusTitle"/>
        <w:jc w:val="center"/>
      </w:pPr>
      <w:r>
        <w:t>СУБЪЕКТОВ РОССИЙСКОЙ ФЕДЕРАЦИИ</w:t>
      </w:r>
    </w:p>
    <w:p w:rsidR="00D81706" w:rsidRDefault="00D81706">
      <w:pPr>
        <w:pStyle w:val="ConsPlusNormal"/>
        <w:jc w:val="both"/>
      </w:pPr>
    </w:p>
    <w:p w:rsidR="00D81706" w:rsidRDefault="00D81706">
      <w:pPr>
        <w:pStyle w:val="ConsPlusNormal"/>
        <w:jc w:val="right"/>
      </w:pPr>
      <w:proofErr w:type="gramStart"/>
      <w:r>
        <w:t>Принят</w:t>
      </w:r>
      <w:proofErr w:type="gramEnd"/>
    </w:p>
    <w:p w:rsidR="00D81706" w:rsidRDefault="00D81706">
      <w:pPr>
        <w:pStyle w:val="ConsPlusNormal"/>
        <w:jc w:val="right"/>
      </w:pPr>
      <w:r>
        <w:t>Государственным Советом</w:t>
      </w:r>
    </w:p>
    <w:p w:rsidR="00D81706" w:rsidRDefault="00D81706">
      <w:pPr>
        <w:pStyle w:val="ConsPlusNormal"/>
        <w:jc w:val="right"/>
      </w:pPr>
      <w:r>
        <w:t>Чувашской Республики</w:t>
      </w:r>
    </w:p>
    <w:p w:rsidR="00D81706" w:rsidRDefault="00D81706">
      <w:pPr>
        <w:pStyle w:val="ConsPlusNormal"/>
        <w:jc w:val="right"/>
      </w:pPr>
      <w:r>
        <w:t>12 июля 2001 года</w:t>
      </w:r>
    </w:p>
    <w:p w:rsidR="00D81706" w:rsidRDefault="00D81706">
      <w:pPr>
        <w:pStyle w:val="ConsPlusNormal"/>
        <w:jc w:val="both"/>
      </w:pP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133063">
      <w:pPr>
        <w:pStyle w:val="ConsPlusTitle"/>
        <w:ind w:firstLine="709"/>
        <w:jc w:val="both"/>
        <w:outlineLvl w:val="4"/>
      </w:pPr>
      <w:r>
        <w:t>Статья 13. Предоставление отсрочки или рассрочки по уплате республиканских налогов, зачисляемых в республиканский бюджет Чувашской Республики</w:t>
      </w:r>
    </w:p>
    <w:p w:rsidR="00D81706" w:rsidRDefault="00D81706" w:rsidP="00133063">
      <w:pPr>
        <w:pStyle w:val="ConsPlusNormal"/>
        <w:ind w:firstLine="709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ЧР от 24.11.2004 N 36)</w:t>
      </w:r>
    </w:p>
    <w:p w:rsidR="00D81706" w:rsidRDefault="003C0BCD" w:rsidP="00133063">
      <w:pPr>
        <w:pStyle w:val="ConsPlusNormal"/>
        <w:ind w:firstLine="709"/>
        <w:jc w:val="both"/>
      </w:pPr>
      <w:r>
        <w:t>…</w:t>
      </w:r>
    </w:p>
    <w:p w:rsidR="00133063" w:rsidRDefault="00133063" w:rsidP="00133063">
      <w:pPr>
        <w:pStyle w:val="ConsPlusNormal"/>
        <w:ind w:firstLine="709"/>
        <w:jc w:val="both"/>
      </w:pPr>
      <w:r>
        <w:t xml:space="preserve">4. Если отсрочка или рассрочка по уплате налогов предоставлена по основаниям, указанным в </w:t>
      </w:r>
      <w:hyperlink w:anchor="P224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225" w:history="1">
        <w:r>
          <w:rPr>
            <w:color w:val="0000FF"/>
          </w:rPr>
          <w:t>4</w:t>
        </w:r>
      </w:hyperlink>
      <w:r>
        <w:t xml:space="preserve">, </w:t>
      </w:r>
      <w:hyperlink w:anchor="P226" w:history="1">
        <w:r>
          <w:rPr>
            <w:color w:val="0000FF"/>
          </w:rPr>
          <w:t>5</w:t>
        </w:r>
      </w:hyperlink>
      <w:r>
        <w:t xml:space="preserve"> и </w:t>
      </w:r>
      <w:hyperlink w:anchor="P227" w:history="1">
        <w:r>
          <w:rPr>
            <w:color w:val="0000FF"/>
          </w:rPr>
          <w:t>6 пункта 2</w:t>
        </w:r>
      </w:hyperlink>
      <w:r>
        <w:t xml:space="preserve"> настоящей статьи, а </w:t>
      </w:r>
      <w:proofErr w:type="gramStart"/>
      <w:r>
        <w:t>также</w:t>
      </w:r>
      <w:proofErr w:type="gramEnd"/>
      <w:r>
        <w:t xml:space="preserve"> если рассрочка по уплате налога предоставлена по основанию, указанному в </w:t>
      </w:r>
      <w:hyperlink w:anchor="P228" w:history="1">
        <w:r>
          <w:rPr>
            <w:color w:val="0000FF"/>
          </w:rPr>
          <w:t>подпункте 7 пункта 2</w:t>
        </w:r>
      </w:hyperlink>
      <w:r>
        <w:t xml:space="preserve"> настоящей статьи, на сумму задолженности начисляются проценты исходя из ставки, равной одной второй </w:t>
      </w:r>
      <w:hyperlink r:id="rId6" w:history="1">
        <w:r>
          <w:rPr>
            <w:color w:val="0000FF"/>
          </w:rPr>
          <w:t>ставки</w:t>
        </w:r>
      </w:hyperlink>
      <w: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133063" w:rsidRDefault="00133063" w:rsidP="00133063">
      <w:pPr>
        <w:pStyle w:val="ConsPlusNormal"/>
        <w:ind w:firstLine="709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ЧР от 13.02.2018 N 6)</w:t>
      </w:r>
    </w:p>
    <w:p w:rsidR="00133063" w:rsidRDefault="00133063" w:rsidP="00133063">
      <w:pPr>
        <w:pStyle w:val="ConsPlusNormal"/>
        <w:ind w:firstLine="709"/>
        <w:jc w:val="both"/>
      </w:pPr>
      <w:r>
        <w:t xml:space="preserve">Если отсрочка или рассрочка по уплате налогов предоставлена по основаниям, указанным в </w:t>
      </w:r>
      <w:hyperlink w:anchor="P222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223" w:history="1">
        <w:r>
          <w:rPr>
            <w:color w:val="0000FF"/>
          </w:rPr>
          <w:t>2 пункта 2</w:t>
        </w:r>
      </w:hyperlink>
      <w:r>
        <w:t xml:space="preserve"> настоящей статьи, на сумму задолженности проценты не начисляются.</w:t>
      </w:r>
    </w:p>
    <w:p w:rsidR="00133063" w:rsidRDefault="00133063" w:rsidP="00133063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Title"/>
        <w:ind w:firstLine="709"/>
        <w:jc w:val="both"/>
        <w:outlineLvl w:val="4"/>
      </w:pPr>
      <w:bookmarkStart w:id="0" w:name="P293"/>
      <w:bookmarkEnd w:id="0"/>
      <w:r>
        <w:t>Статья 18.1. Особенности определения налоговой базы в отношении отдельных объектов недвижимого имущества</w:t>
      </w:r>
    </w:p>
    <w:p w:rsidR="00D81706" w:rsidRDefault="00D81706" w:rsidP="008C50F6">
      <w:pPr>
        <w:pStyle w:val="ConsPlusNormal"/>
        <w:ind w:firstLine="709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D81706" w:rsidRDefault="00D81706" w:rsidP="008C50F6">
      <w:pPr>
        <w:pStyle w:val="ConsPlusNormal"/>
        <w:ind w:firstLine="709"/>
        <w:jc w:val="both"/>
      </w:pPr>
    </w:p>
    <w:p w:rsidR="00D81706" w:rsidRDefault="00D81706" w:rsidP="008C50F6">
      <w:pPr>
        <w:pStyle w:val="ConsPlusNormal"/>
        <w:ind w:firstLine="709"/>
        <w:jc w:val="both"/>
      </w:pPr>
      <w:r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D81706" w:rsidRDefault="003C0BCD" w:rsidP="008C50F6">
      <w:pPr>
        <w:pStyle w:val="ConsPlusNormal"/>
        <w:ind w:firstLine="709"/>
        <w:jc w:val="both"/>
      </w:pPr>
      <w:bookmarkStart w:id="1" w:name="P297"/>
      <w:bookmarkEnd w:id="1"/>
      <w:r>
        <w:t>…</w:t>
      </w:r>
    </w:p>
    <w:p w:rsidR="00D81706" w:rsidRDefault="00D81706" w:rsidP="008C50F6">
      <w:pPr>
        <w:pStyle w:val="ConsPlusNormal"/>
        <w:ind w:firstLine="709"/>
        <w:jc w:val="both"/>
      </w:pPr>
      <w:r>
        <w:t>3) жилые дома и жилые помещения, не учитываемые на балансе в качестве объектов основных сре</w:t>
      </w:r>
      <w:proofErr w:type="gramStart"/>
      <w:r>
        <w:t>дств в п</w:t>
      </w:r>
      <w:proofErr w:type="gramEnd"/>
      <w:r>
        <w:t>орядке, установленном для ведения бухгалтерского учета.</w:t>
      </w: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Title"/>
        <w:ind w:firstLine="709"/>
        <w:jc w:val="both"/>
        <w:outlineLvl w:val="4"/>
      </w:pPr>
      <w:r>
        <w:t xml:space="preserve">Статья 19. Налоговые </w:t>
      </w:r>
      <w:hyperlink r:id="rId9" w:history="1">
        <w:r>
          <w:rPr>
            <w:color w:val="0000FF"/>
          </w:rPr>
          <w:t>ставки</w:t>
        </w:r>
      </w:hyperlink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06.03.2013 N 4)</w:t>
      </w: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Normal"/>
        <w:ind w:firstLine="709"/>
        <w:jc w:val="both"/>
      </w:pPr>
      <w:bookmarkStart w:id="2" w:name="P310"/>
      <w:bookmarkEnd w:id="2"/>
      <w:r>
        <w:t xml:space="preserve">2. Налоговые ставки в отношении магистральных трубопроводов, линий </w:t>
      </w:r>
      <w:proofErr w:type="spellStart"/>
      <w:r>
        <w:t>энергопередачи</w:t>
      </w:r>
      <w:proofErr w:type="spellEnd"/>
      <w:r>
        <w:t>, а также сооружений, являющихся неотъемлемой технологической частью указанных объектов, устанавливаются в 2014 году в размере 0,7 процента, в 2015 году - 1,0 процента, в 2016 году - 1,3 процента, в 2017 году - 1,6 процента, в 2018 году - 1,9 процента.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28.09.2017 N 52)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Налоговые ставки в отношении железнодорожных путей общего пользования и сооружений, являющихся их неотъемлемой технологической частью, устанавливаются в 2017 году </w:t>
      </w:r>
      <w:r>
        <w:lastRenderedPageBreak/>
        <w:t>в размере 1,0 процента, в 2018 году - 1,3 процента, в 2019 году - 1,3 процента, в 2020 году - 1,6 процента.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ЧР от 28.09.2017 N 52)</w:t>
      </w:r>
    </w:p>
    <w:p w:rsidR="00D81706" w:rsidRDefault="003C0BCD" w:rsidP="008C50F6">
      <w:pPr>
        <w:pStyle w:val="ConsPlusTitle"/>
        <w:ind w:firstLine="709"/>
        <w:jc w:val="both"/>
        <w:outlineLvl w:val="4"/>
      </w:pPr>
      <w:r>
        <w:t>…</w:t>
      </w:r>
    </w:p>
    <w:p w:rsidR="00D81706" w:rsidRDefault="00D81706" w:rsidP="008C50F6">
      <w:pPr>
        <w:pStyle w:val="ConsPlusNormal"/>
        <w:ind w:firstLine="709"/>
        <w:jc w:val="both"/>
      </w:pPr>
    </w:p>
    <w:p w:rsidR="00D81706" w:rsidRDefault="00D81706" w:rsidP="008C50F6">
      <w:pPr>
        <w:pStyle w:val="ConsPlusTitle"/>
        <w:ind w:firstLine="709"/>
        <w:jc w:val="both"/>
        <w:outlineLvl w:val="4"/>
      </w:pPr>
      <w:r>
        <w:t xml:space="preserve">Статья 33. Налоговые </w:t>
      </w:r>
      <w:hyperlink r:id="rId13" w:history="1">
        <w:r>
          <w:rPr>
            <w:color w:val="0000FF"/>
          </w:rPr>
          <w:t>льготы</w:t>
        </w:r>
      </w:hyperlink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ЧР от 11.10.2013 N 60)</w:t>
      </w:r>
    </w:p>
    <w:p w:rsidR="00D81706" w:rsidRDefault="00D81706" w:rsidP="008C50F6">
      <w:pPr>
        <w:pStyle w:val="ConsPlusNormal"/>
        <w:ind w:firstLine="709"/>
        <w:jc w:val="both"/>
      </w:pPr>
    </w:p>
    <w:p w:rsidR="00D81706" w:rsidRDefault="00D81706" w:rsidP="008C50F6">
      <w:pPr>
        <w:pStyle w:val="ConsPlusNormal"/>
        <w:ind w:firstLine="709"/>
        <w:jc w:val="both"/>
      </w:pPr>
      <w:proofErr w:type="gramStart"/>
      <w:r>
        <w:t xml:space="preserve">На территории Чувашской Республики от уплаты налога (за исключением налога в отношении легковых автомобилей средней стоимостью от трех миллионов рублей, перечень которых в соответствии со </w:t>
      </w:r>
      <w:hyperlink r:id="rId15" w:history="1">
        <w:r>
          <w:rPr>
            <w:color w:val="0000FF"/>
          </w:rPr>
          <w:t>статьей 362</w:t>
        </w:r>
      </w:hyperlink>
      <w:r>
        <w:t xml:space="preserve"> Налогового кодекса Российской Федерации размещается на официальном сайте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торговли, в информационно-телекоммуникационной сети "Интернет") освобождаются:</w:t>
      </w:r>
      <w:proofErr w:type="gramEnd"/>
    </w:p>
    <w:p w:rsidR="00D81706" w:rsidRDefault="00D81706" w:rsidP="008C50F6">
      <w:pPr>
        <w:pStyle w:val="ConsPlusNormal"/>
        <w:ind w:firstLine="709"/>
        <w:jc w:val="both"/>
      </w:pPr>
      <w:r>
        <w:t>Герои Советского Союза, Герои Российской Федерации, полные кавалеры ордена Славы;</w:t>
      </w:r>
    </w:p>
    <w:p w:rsidR="00D81706" w:rsidRDefault="00D81706" w:rsidP="008C50F6">
      <w:pPr>
        <w:pStyle w:val="ConsPlusNormal"/>
        <w:ind w:firstLine="709"/>
        <w:jc w:val="both"/>
      </w:pPr>
      <w:proofErr w:type="gramStart"/>
      <w:r>
        <w:t xml:space="preserve">инвалиды, в том числе дети-инвалиды, а также лица, подвергшиеся воздействию радиации вследствие катастрофы на Чернобыльской АЭС, ядерных испытаний на Семипалатинском полигоне,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, и их общественные объединения (организации), хозяйственные товарищества и общества, уставный капитал которых состоит из вклада общественного объединения инвалидов, использующие транспортные средства для осуществления своей</w:t>
      </w:r>
      <w:proofErr w:type="gramEnd"/>
      <w:r>
        <w:t xml:space="preserve"> уставной деятельности;</w:t>
      </w:r>
    </w:p>
    <w:p w:rsidR="00D81706" w:rsidRDefault="00D81706" w:rsidP="008C50F6">
      <w:pPr>
        <w:pStyle w:val="ConsPlusNormal"/>
        <w:ind w:firstLine="709"/>
        <w:jc w:val="both"/>
      </w:pPr>
      <w:r>
        <w:t>оборонные спортивно-технические организации (общества) и организации потребительской кооперации.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Для физических лиц, на которых зарегистрированы два и </w:t>
      </w:r>
      <w:proofErr w:type="gramStart"/>
      <w:r>
        <w:t>более транспортных</w:t>
      </w:r>
      <w:proofErr w:type="gramEnd"/>
      <w:r>
        <w:t xml:space="preserve"> средства, в отношении которых в соответствии с настоящей статьей они освобождаются от уплаты налога, льгота предоставляется по их выбору на одно транспортное средство.</w:t>
      </w:r>
    </w:p>
    <w:p w:rsidR="00D81706" w:rsidRDefault="00D81706" w:rsidP="008C50F6">
      <w:pPr>
        <w:pStyle w:val="ConsPlusNormal"/>
        <w:ind w:firstLine="709"/>
        <w:jc w:val="both"/>
      </w:pPr>
      <w:r>
        <w:t>Для организаций и индивидуальных предпринимателей в отношении используемых ими для осуществления предпринимательской деятельности автобусов и автомобилей грузовых, использующих природный газ в качестве моторного топлива, ставка налога на каждую лошадиную силу мощности двигателя транспортного средства снижается на 20 процентов на срок до 2020 года.</w:t>
      </w: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Title"/>
        <w:ind w:firstLine="709"/>
        <w:jc w:val="both"/>
        <w:outlineLvl w:val="4"/>
      </w:pPr>
      <w:r>
        <w:t>Статья 36. Налоговые ставки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ЧР от 27.06.2008 N 28)</w:t>
      </w:r>
    </w:p>
    <w:p w:rsidR="00D81706" w:rsidRDefault="00D81706" w:rsidP="008C50F6">
      <w:pPr>
        <w:pStyle w:val="ConsPlusNormal"/>
        <w:ind w:firstLine="709"/>
        <w:jc w:val="both"/>
      </w:pPr>
      <w:r>
        <w:t>Налоговые ставки 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одну единицу транспортного средства в следующих размерах: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ЧР от 15.07.2011 N 38)</w:t>
      </w:r>
    </w:p>
    <w:p w:rsidR="00D81706" w:rsidRDefault="00D817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74"/>
      </w:tblGrid>
      <w:tr w:rsidR="00D81706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D81706" w:rsidRDefault="00D81706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D81706" w:rsidRDefault="00D81706">
            <w:pPr>
              <w:pStyle w:val="ConsPlusNormal"/>
              <w:jc w:val="center"/>
            </w:pPr>
            <w:r>
              <w:t>Налоговая ставка, рублей</w:t>
            </w:r>
          </w:p>
        </w:tc>
      </w:tr>
      <w:tr w:rsidR="00D81706"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D81706" w:rsidRDefault="00D817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D81706" w:rsidRDefault="00D81706">
            <w:pPr>
              <w:pStyle w:val="ConsPlusNormal"/>
              <w:jc w:val="center"/>
            </w:pPr>
            <w:r>
              <w:t>2</w:t>
            </w: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</w:pP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>до 100 л. с. (до 73,55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16</w:t>
            </w: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 xml:space="preserve">свыше 100 л. </w:t>
            </w:r>
            <w:proofErr w:type="gramStart"/>
            <w:r>
              <w:t>с</w:t>
            </w:r>
            <w:proofErr w:type="gramEnd"/>
            <w:r>
              <w:t xml:space="preserve">. до 150 л. </w:t>
            </w:r>
            <w:proofErr w:type="gramStart"/>
            <w:r>
              <w:t>с</w:t>
            </w:r>
            <w:proofErr w:type="gramEnd"/>
            <w:r>
              <w:t>. (свыше 73,55 кВт до 110,33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28</w:t>
            </w: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lastRenderedPageBreak/>
              <w:t xml:space="preserve">свыше 150 л. </w:t>
            </w:r>
            <w:proofErr w:type="gramStart"/>
            <w:r>
              <w:t>с</w:t>
            </w:r>
            <w:proofErr w:type="gramEnd"/>
            <w:r>
              <w:t xml:space="preserve">. до 200 л. </w:t>
            </w:r>
            <w:proofErr w:type="gramStart"/>
            <w:r>
              <w:t>с</w:t>
            </w:r>
            <w:proofErr w:type="gramEnd"/>
            <w:r>
              <w:t>. (свыше 110,33 кВт до 147,1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50</w:t>
            </w: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 xml:space="preserve">свыше 200 л. </w:t>
            </w:r>
            <w:proofErr w:type="gramStart"/>
            <w:r>
              <w:t>с</w:t>
            </w:r>
            <w:proofErr w:type="gramEnd"/>
            <w:r>
              <w:t xml:space="preserve">. до 250 л. </w:t>
            </w:r>
            <w:proofErr w:type="gramStart"/>
            <w:r>
              <w:t>с</w:t>
            </w:r>
            <w:proofErr w:type="gramEnd"/>
            <w:r>
              <w:t>. (свыше 147,1 кВт до 183,9 кВт) включительно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75</w:t>
            </w: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>свыше 250 л. с. (свыше 183,9 кВт)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150</w:t>
            </w:r>
          </w:p>
        </w:tc>
      </w:tr>
      <w:tr w:rsidR="008C50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8C50F6" w:rsidRDefault="008C50F6" w:rsidP="008C50F6">
            <w:pPr>
              <w:pStyle w:val="ConsPlusNormal"/>
              <w:jc w:val="both"/>
            </w:pPr>
            <w:r>
              <w:t>…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0F6" w:rsidRDefault="008C50F6" w:rsidP="008C50F6">
            <w:pPr>
              <w:pStyle w:val="ConsPlusNormal"/>
              <w:jc w:val="center"/>
            </w:pPr>
          </w:p>
        </w:tc>
      </w:tr>
      <w:tr w:rsidR="00D8170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D81706" w:rsidRDefault="00D81706" w:rsidP="008C50F6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706" w:rsidRDefault="00D81706" w:rsidP="008C50F6">
            <w:pPr>
              <w:pStyle w:val="ConsPlusNormal"/>
              <w:jc w:val="center"/>
            </w:pPr>
            <w:r>
              <w:t>80</w:t>
            </w:r>
          </w:p>
        </w:tc>
      </w:tr>
    </w:tbl>
    <w:p w:rsidR="00D81706" w:rsidRDefault="008C50F6" w:rsidP="008C50F6">
      <w:pPr>
        <w:pStyle w:val="ConsPlusNormal"/>
        <w:jc w:val="both"/>
      </w:pPr>
      <w:r>
        <w:t>…</w:t>
      </w:r>
    </w:p>
    <w:p w:rsidR="00D81706" w:rsidRDefault="003C5F7A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Title"/>
        <w:ind w:firstLine="709"/>
        <w:jc w:val="both"/>
        <w:outlineLvl w:val="4"/>
      </w:pPr>
      <w:r>
        <w:t>Статья 38. Порядок и сроки уплаты налога и авансовых платежей по налогу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18.11.2005 N 45)</w:t>
      </w:r>
    </w:p>
    <w:p w:rsidR="003C0BCD" w:rsidRDefault="003C0BCD" w:rsidP="008C50F6">
      <w:pPr>
        <w:pStyle w:val="ConsPlusNormal"/>
        <w:ind w:firstLine="709"/>
        <w:jc w:val="both"/>
      </w:pPr>
      <w:bookmarkStart w:id="3" w:name="_GoBack"/>
      <w:bookmarkEnd w:id="3"/>
      <w:r>
        <w:t>…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2. Сумма транспортного налога, исчисленная по итогам налогового периода, уплачивается организациями в срок, установленный </w:t>
      </w:r>
      <w:hyperlink r:id="rId19" w:history="1">
        <w:r>
          <w:rPr>
            <w:color w:val="0000FF"/>
          </w:rPr>
          <w:t>статьей 363.1</w:t>
        </w:r>
      </w:hyperlink>
      <w:r>
        <w:t xml:space="preserve"> Налогового кодекса Российской Федерации для подачи налоговой декларации по транспортному налогу.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20.11.2006 N 49)</w:t>
      </w: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Title"/>
        <w:ind w:firstLine="709"/>
        <w:jc w:val="both"/>
        <w:outlineLvl w:val="4"/>
      </w:pPr>
      <w:r>
        <w:t>Статья 39. Применение индивидуальными предпринимателями патентной системы налогообложения</w:t>
      </w:r>
    </w:p>
    <w:p w:rsidR="00D81706" w:rsidRDefault="00D81706" w:rsidP="008C50F6">
      <w:pPr>
        <w:pStyle w:val="ConsPlusNormal"/>
        <w:ind w:firstLine="709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02.10.2012 N 56)</w:t>
      </w:r>
    </w:p>
    <w:p w:rsidR="00D81706" w:rsidRDefault="003C0BCD" w:rsidP="008C50F6">
      <w:pPr>
        <w:pStyle w:val="ConsPlusNormal"/>
        <w:ind w:firstLine="709"/>
        <w:jc w:val="both"/>
      </w:pPr>
      <w:r>
        <w:t>…</w:t>
      </w:r>
    </w:p>
    <w:p w:rsidR="00D81706" w:rsidRDefault="00D81706" w:rsidP="008C50F6">
      <w:pPr>
        <w:pStyle w:val="ConsPlusNormal"/>
        <w:spacing w:line="360" w:lineRule="auto"/>
        <w:ind w:firstLine="540"/>
        <w:jc w:val="both"/>
      </w:pPr>
      <w:bookmarkStart w:id="4" w:name="P540"/>
      <w:bookmarkEnd w:id="4"/>
      <w:r>
        <w:t>2. Потенциально возможный к получению индивидуальными предпринимателями годовой доход по видам предпринимательской деятельности устанавливается в следующих размерах:</w:t>
      </w:r>
    </w:p>
    <w:p w:rsidR="00D81706" w:rsidRDefault="00D81706" w:rsidP="008C50F6">
      <w:pPr>
        <w:pStyle w:val="ConsPlusNormal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76"/>
        <w:gridCol w:w="1928"/>
      </w:tblGrid>
      <w:tr w:rsidR="00D81706">
        <w:tc>
          <w:tcPr>
            <w:tcW w:w="567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1928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Размеры потенциально возможного к получению индивидуальным предпринимателем годового дохода, тыс. рублей</w:t>
            </w:r>
          </w:p>
        </w:tc>
      </w:tr>
      <w:tr w:rsidR="00D81706">
        <w:tc>
          <w:tcPr>
            <w:tcW w:w="567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3</w:t>
            </w:r>
          </w:p>
        </w:tc>
      </w:tr>
      <w:tr w:rsidR="003C0BCD">
        <w:tc>
          <w:tcPr>
            <w:tcW w:w="567" w:type="dxa"/>
          </w:tcPr>
          <w:p w:rsidR="003C0BCD" w:rsidRDefault="003C0BCD" w:rsidP="008C50F6">
            <w:pPr>
              <w:pStyle w:val="ConsPlusNormal"/>
              <w:spacing w:line="360" w:lineRule="auto"/>
              <w:jc w:val="center"/>
            </w:pPr>
            <w:r>
              <w:t>…</w:t>
            </w:r>
          </w:p>
        </w:tc>
        <w:tc>
          <w:tcPr>
            <w:tcW w:w="6576" w:type="dxa"/>
          </w:tcPr>
          <w:p w:rsidR="003C0BCD" w:rsidRDefault="003C0BCD" w:rsidP="008C50F6">
            <w:pPr>
              <w:pStyle w:val="ConsPlusNormal"/>
              <w:spacing w:line="360" w:lineRule="auto"/>
              <w:jc w:val="center"/>
            </w:pPr>
          </w:p>
        </w:tc>
        <w:tc>
          <w:tcPr>
            <w:tcW w:w="1928" w:type="dxa"/>
          </w:tcPr>
          <w:p w:rsidR="003C0BCD" w:rsidRDefault="003C0BCD" w:rsidP="008C50F6">
            <w:pPr>
              <w:pStyle w:val="ConsPlusNormal"/>
              <w:spacing w:line="360" w:lineRule="auto"/>
              <w:jc w:val="center"/>
            </w:pPr>
          </w:p>
        </w:tc>
      </w:tr>
      <w:tr w:rsidR="00D81706">
        <w:tc>
          <w:tcPr>
            <w:tcW w:w="567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19.</w:t>
            </w:r>
          </w:p>
        </w:tc>
        <w:tc>
          <w:tcPr>
            <w:tcW w:w="6576" w:type="dxa"/>
          </w:tcPr>
          <w:p w:rsidR="00D81706" w:rsidRDefault="00D81706" w:rsidP="008C50F6">
            <w:pPr>
              <w:pStyle w:val="ConsPlusNormal"/>
              <w:spacing w:line="360" w:lineRule="auto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928" w:type="dxa"/>
          </w:tcPr>
          <w:p w:rsidR="00D81706" w:rsidRDefault="00D81706" w:rsidP="008C50F6">
            <w:pPr>
              <w:pStyle w:val="ConsPlusNormal"/>
              <w:spacing w:line="360" w:lineRule="auto"/>
            </w:pPr>
          </w:p>
        </w:tc>
      </w:tr>
      <w:tr w:rsidR="00D81706">
        <w:tc>
          <w:tcPr>
            <w:tcW w:w="567" w:type="dxa"/>
            <w:vMerge w:val="restart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lastRenderedPageBreak/>
              <w:t>19.1.</w:t>
            </w:r>
          </w:p>
        </w:tc>
        <w:tc>
          <w:tcPr>
            <w:tcW w:w="6576" w:type="dxa"/>
          </w:tcPr>
          <w:p w:rsidR="00D81706" w:rsidRDefault="00D81706" w:rsidP="008C50F6">
            <w:pPr>
              <w:pStyle w:val="ConsPlusNormal"/>
              <w:spacing w:line="360" w:lineRule="auto"/>
              <w:jc w:val="both"/>
            </w:pPr>
            <w:r>
              <w:t>Сдача в аренду (наем) жилых помещений, дач, принадлежащих индивидуальному предпринимателю на праве собственности</w:t>
            </w:r>
          </w:p>
        </w:tc>
        <w:tc>
          <w:tcPr>
            <w:tcW w:w="1928" w:type="dxa"/>
          </w:tcPr>
          <w:p w:rsidR="00D81706" w:rsidRDefault="00D81706" w:rsidP="008C50F6">
            <w:pPr>
              <w:pStyle w:val="ConsPlusNormal"/>
              <w:spacing w:line="360" w:lineRule="auto"/>
            </w:pPr>
          </w:p>
        </w:tc>
      </w:tr>
      <w:tr w:rsidR="00D81706">
        <w:tc>
          <w:tcPr>
            <w:tcW w:w="567" w:type="dxa"/>
            <w:vMerge/>
          </w:tcPr>
          <w:p w:rsidR="00D81706" w:rsidRDefault="00D81706" w:rsidP="008C50F6">
            <w:pPr>
              <w:spacing w:after="0" w:line="360" w:lineRule="auto"/>
            </w:pPr>
          </w:p>
        </w:tc>
        <w:tc>
          <w:tcPr>
            <w:tcW w:w="6576" w:type="dxa"/>
          </w:tcPr>
          <w:p w:rsidR="00D81706" w:rsidRDefault="00D81706" w:rsidP="008C50F6">
            <w:pPr>
              <w:pStyle w:val="ConsPlusNormal"/>
              <w:spacing w:line="360" w:lineRule="auto"/>
              <w:jc w:val="both"/>
            </w:pPr>
            <w:r>
              <w:t>объект аренды (за 1 объект)</w:t>
            </w:r>
          </w:p>
        </w:tc>
        <w:tc>
          <w:tcPr>
            <w:tcW w:w="1928" w:type="dxa"/>
          </w:tcPr>
          <w:p w:rsidR="00D81706" w:rsidRDefault="00D81706" w:rsidP="008C50F6">
            <w:pPr>
              <w:pStyle w:val="ConsPlusNormal"/>
              <w:spacing w:line="360" w:lineRule="auto"/>
              <w:jc w:val="center"/>
            </w:pPr>
            <w:r>
              <w:t>325</w:t>
            </w:r>
          </w:p>
        </w:tc>
      </w:tr>
      <w:tr w:rsidR="003C0BCD">
        <w:tc>
          <w:tcPr>
            <w:tcW w:w="567" w:type="dxa"/>
          </w:tcPr>
          <w:p w:rsidR="003C0BCD" w:rsidRDefault="003C0BCD" w:rsidP="008C50F6">
            <w:pPr>
              <w:spacing w:after="0" w:line="360" w:lineRule="auto"/>
            </w:pPr>
            <w:r>
              <w:t>…</w:t>
            </w:r>
          </w:p>
        </w:tc>
        <w:tc>
          <w:tcPr>
            <w:tcW w:w="6576" w:type="dxa"/>
          </w:tcPr>
          <w:p w:rsidR="003C0BCD" w:rsidRDefault="003C0BCD" w:rsidP="008C50F6">
            <w:pPr>
              <w:pStyle w:val="ConsPlusNormal"/>
              <w:spacing w:line="360" w:lineRule="auto"/>
              <w:jc w:val="both"/>
            </w:pPr>
          </w:p>
        </w:tc>
        <w:tc>
          <w:tcPr>
            <w:tcW w:w="1928" w:type="dxa"/>
          </w:tcPr>
          <w:p w:rsidR="003C0BCD" w:rsidRDefault="003C0BCD" w:rsidP="008C50F6">
            <w:pPr>
              <w:pStyle w:val="ConsPlusNormal"/>
              <w:spacing w:line="360" w:lineRule="auto"/>
              <w:jc w:val="center"/>
            </w:pPr>
          </w:p>
        </w:tc>
      </w:tr>
      <w:tr w:rsidR="008C50F6">
        <w:tc>
          <w:tcPr>
            <w:tcW w:w="567" w:type="dxa"/>
            <w:vMerge w:val="restart"/>
          </w:tcPr>
          <w:p w:rsidR="008C50F6" w:rsidRDefault="008C50F6" w:rsidP="008C50F6">
            <w:pPr>
              <w:spacing w:after="0" w:line="360" w:lineRule="auto"/>
            </w:pPr>
            <w:r>
              <w:t>38.</w:t>
            </w:r>
          </w:p>
        </w:tc>
        <w:tc>
          <w:tcPr>
            <w:tcW w:w="6576" w:type="dxa"/>
          </w:tcPr>
          <w:p w:rsidR="008C50F6" w:rsidRPr="008162FD" w:rsidRDefault="008C50F6" w:rsidP="008C50F6">
            <w:pPr>
              <w:spacing w:after="0" w:line="360" w:lineRule="auto"/>
            </w:pPr>
            <w:r w:rsidRPr="008162FD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928" w:type="dxa"/>
          </w:tcPr>
          <w:p w:rsidR="008C50F6" w:rsidRPr="008162FD" w:rsidRDefault="008C50F6" w:rsidP="008C50F6">
            <w:pPr>
              <w:spacing w:after="0" w:line="360" w:lineRule="auto"/>
            </w:pPr>
          </w:p>
        </w:tc>
      </w:tr>
      <w:tr w:rsidR="008C50F6">
        <w:tc>
          <w:tcPr>
            <w:tcW w:w="567" w:type="dxa"/>
            <w:vMerge/>
          </w:tcPr>
          <w:p w:rsidR="008C50F6" w:rsidRDefault="008C50F6" w:rsidP="008C50F6">
            <w:pPr>
              <w:spacing w:after="0" w:line="360" w:lineRule="auto"/>
            </w:pPr>
          </w:p>
        </w:tc>
        <w:tc>
          <w:tcPr>
            <w:tcW w:w="6576" w:type="dxa"/>
          </w:tcPr>
          <w:p w:rsidR="008C50F6" w:rsidRPr="008162FD" w:rsidRDefault="008C50F6" w:rsidP="008C50F6">
            <w:pPr>
              <w:spacing w:after="0" w:line="360" w:lineRule="auto"/>
            </w:pPr>
            <w:r w:rsidRPr="008162FD">
              <w:t>средняя численность наемных работников от 0 до 3 включительно</w:t>
            </w:r>
          </w:p>
        </w:tc>
        <w:tc>
          <w:tcPr>
            <w:tcW w:w="1928" w:type="dxa"/>
          </w:tcPr>
          <w:p w:rsidR="008C50F6" w:rsidRPr="008162FD" w:rsidRDefault="008C50F6" w:rsidP="008C50F6">
            <w:pPr>
              <w:spacing w:after="0" w:line="360" w:lineRule="auto"/>
              <w:jc w:val="center"/>
            </w:pPr>
            <w:r w:rsidRPr="008162FD">
              <w:t>450</w:t>
            </w:r>
          </w:p>
        </w:tc>
      </w:tr>
      <w:tr w:rsidR="008C50F6">
        <w:tc>
          <w:tcPr>
            <w:tcW w:w="567" w:type="dxa"/>
            <w:vMerge/>
          </w:tcPr>
          <w:p w:rsidR="008C50F6" w:rsidRDefault="008C50F6" w:rsidP="008C50F6">
            <w:pPr>
              <w:spacing w:after="0" w:line="360" w:lineRule="auto"/>
            </w:pPr>
          </w:p>
        </w:tc>
        <w:tc>
          <w:tcPr>
            <w:tcW w:w="6576" w:type="dxa"/>
          </w:tcPr>
          <w:p w:rsidR="008C50F6" w:rsidRPr="008162FD" w:rsidRDefault="008C50F6" w:rsidP="008C50F6">
            <w:pPr>
              <w:spacing w:after="0" w:line="360" w:lineRule="auto"/>
            </w:pPr>
            <w:r w:rsidRPr="008162FD">
              <w:t>средняя численность наемных работников от 4 до 5 включительно</w:t>
            </w:r>
          </w:p>
        </w:tc>
        <w:tc>
          <w:tcPr>
            <w:tcW w:w="1928" w:type="dxa"/>
          </w:tcPr>
          <w:p w:rsidR="008C50F6" w:rsidRPr="008162FD" w:rsidRDefault="008C50F6" w:rsidP="008C50F6">
            <w:pPr>
              <w:spacing w:after="0" w:line="360" w:lineRule="auto"/>
              <w:jc w:val="center"/>
            </w:pPr>
            <w:r w:rsidRPr="008162FD">
              <w:t>630</w:t>
            </w:r>
          </w:p>
        </w:tc>
      </w:tr>
      <w:tr w:rsidR="008C50F6">
        <w:tc>
          <w:tcPr>
            <w:tcW w:w="567" w:type="dxa"/>
            <w:vMerge/>
          </w:tcPr>
          <w:p w:rsidR="008C50F6" w:rsidRDefault="008C50F6" w:rsidP="008C50F6">
            <w:pPr>
              <w:spacing w:after="0" w:line="360" w:lineRule="auto"/>
            </w:pPr>
          </w:p>
        </w:tc>
        <w:tc>
          <w:tcPr>
            <w:tcW w:w="6576" w:type="dxa"/>
          </w:tcPr>
          <w:p w:rsidR="008C50F6" w:rsidRPr="008162FD" w:rsidRDefault="008C50F6" w:rsidP="008C50F6">
            <w:pPr>
              <w:spacing w:after="0" w:line="360" w:lineRule="auto"/>
            </w:pPr>
            <w:r w:rsidRPr="008162FD">
              <w:t>средняя численность наемных работников от 6 до 10 включительно</w:t>
            </w:r>
          </w:p>
        </w:tc>
        <w:tc>
          <w:tcPr>
            <w:tcW w:w="1928" w:type="dxa"/>
          </w:tcPr>
          <w:p w:rsidR="008C50F6" w:rsidRPr="008162FD" w:rsidRDefault="008C50F6" w:rsidP="008C50F6">
            <w:pPr>
              <w:spacing w:after="0" w:line="360" w:lineRule="auto"/>
              <w:jc w:val="center"/>
            </w:pPr>
            <w:r w:rsidRPr="008162FD">
              <w:t>900</w:t>
            </w:r>
          </w:p>
        </w:tc>
      </w:tr>
      <w:tr w:rsidR="008C50F6">
        <w:tc>
          <w:tcPr>
            <w:tcW w:w="567" w:type="dxa"/>
            <w:vMerge/>
          </w:tcPr>
          <w:p w:rsidR="008C50F6" w:rsidRDefault="008C50F6" w:rsidP="008C50F6">
            <w:pPr>
              <w:spacing w:after="0" w:line="360" w:lineRule="auto"/>
            </w:pPr>
          </w:p>
        </w:tc>
        <w:tc>
          <w:tcPr>
            <w:tcW w:w="6576" w:type="dxa"/>
          </w:tcPr>
          <w:p w:rsidR="008C50F6" w:rsidRPr="008162FD" w:rsidRDefault="008C50F6" w:rsidP="008C50F6">
            <w:pPr>
              <w:spacing w:after="0" w:line="360" w:lineRule="auto"/>
            </w:pPr>
            <w:r>
              <w:t>средняя численность наемных работников от 11 до 15 включительно</w:t>
            </w:r>
          </w:p>
        </w:tc>
        <w:tc>
          <w:tcPr>
            <w:tcW w:w="1928" w:type="dxa"/>
          </w:tcPr>
          <w:p w:rsidR="008C50F6" w:rsidRPr="008162FD" w:rsidRDefault="008C50F6" w:rsidP="008C50F6">
            <w:pPr>
              <w:spacing w:after="0" w:line="360" w:lineRule="auto"/>
              <w:jc w:val="center"/>
            </w:pPr>
            <w:r>
              <w:t>1800</w:t>
            </w:r>
          </w:p>
        </w:tc>
      </w:tr>
      <w:tr w:rsidR="00697125">
        <w:tc>
          <w:tcPr>
            <w:tcW w:w="567" w:type="dxa"/>
          </w:tcPr>
          <w:p w:rsidR="00697125" w:rsidRDefault="00697125" w:rsidP="008C50F6">
            <w:pPr>
              <w:spacing w:after="0" w:line="360" w:lineRule="auto"/>
            </w:pPr>
            <w:r>
              <w:t>…</w:t>
            </w:r>
          </w:p>
        </w:tc>
        <w:tc>
          <w:tcPr>
            <w:tcW w:w="6576" w:type="dxa"/>
          </w:tcPr>
          <w:p w:rsidR="00697125" w:rsidRPr="008162FD" w:rsidRDefault="00697125" w:rsidP="008C50F6">
            <w:pPr>
              <w:spacing w:after="0" w:line="360" w:lineRule="auto"/>
            </w:pPr>
          </w:p>
        </w:tc>
        <w:tc>
          <w:tcPr>
            <w:tcW w:w="1928" w:type="dxa"/>
          </w:tcPr>
          <w:p w:rsidR="00697125" w:rsidRPr="008162FD" w:rsidRDefault="00697125" w:rsidP="008C50F6">
            <w:pPr>
              <w:spacing w:after="0" w:line="360" w:lineRule="auto"/>
              <w:jc w:val="center"/>
            </w:pPr>
          </w:p>
        </w:tc>
      </w:tr>
    </w:tbl>
    <w:p w:rsidR="00D81706" w:rsidRDefault="00D81706">
      <w:pPr>
        <w:pStyle w:val="ConsPlusNormal"/>
        <w:jc w:val="both"/>
      </w:pPr>
    </w:p>
    <w:p w:rsidR="00D81706" w:rsidRDefault="008C50F6" w:rsidP="008C50F6">
      <w:pPr>
        <w:pStyle w:val="ConsPlusNormal"/>
        <w:ind w:firstLine="540"/>
        <w:jc w:val="both"/>
      </w:pPr>
      <w:r>
        <w:t>…</w:t>
      </w:r>
    </w:p>
    <w:p w:rsidR="00D81706" w:rsidRDefault="00D81706">
      <w:pPr>
        <w:pStyle w:val="ConsPlusNormal"/>
        <w:jc w:val="right"/>
      </w:pPr>
      <w:r>
        <w:t>Президент</w:t>
      </w:r>
    </w:p>
    <w:p w:rsidR="00D81706" w:rsidRDefault="00D81706">
      <w:pPr>
        <w:pStyle w:val="ConsPlusNormal"/>
        <w:jc w:val="right"/>
      </w:pPr>
      <w:r>
        <w:t>Чувашской Республики</w:t>
      </w:r>
    </w:p>
    <w:p w:rsidR="00D81706" w:rsidRDefault="00D81706">
      <w:pPr>
        <w:pStyle w:val="ConsPlusNormal"/>
        <w:jc w:val="right"/>
      </w:pPr>
      <w:r>
        <w:t>Н.ФЕДОРОВ</w:t>
      </w:r>
    </w:p>
    <w:p w:rsidR="00D81706" w:rsidRDefault="00D81706">
      <w:pPr>
        <w:pStyle w:val="ConsPlusNormal"/>
      </w:pPr>
      <w:r>
        <w:t>г. Чебоксары</w:t>
      </w:r>
    </w:p>
    <w:p w:rsidR="00D81706" w:rsidRDefault="00D81706">
      <w:pPr>
        <w:pStyle w:val="ConsPlusNormal"/>
        <w:spacing w:before="220"/>
      </w:pPr>
      <w:r>
        <w:t>23 июля 2001 года</w:t>
      </w:r>
    </w:p>
    <w:p w:rsidR="00D81706" w:rsidRDefault="00D81706">
      <w:pPr>
        <w:pStyle w:val="ConsPlusNormal"/>
        <w:spacing w:before="220"/>
      </w:pPr>
      <w:r>
        <w:t>N 38</w:t>
      </w:r>
    </w:p>
    <w:p w:rsidR="00D81706" w:rsidRDefault="00D817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1706" w:rsidSect="003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6"/>
    <w:rsid w:val="000756C8"/>
    <w:rsid w:val="00133063"/>
    <w:rsid w:val="003C0BCD"/>
    <w:rsid w:val="003C5F7A"/>
    <w:rsid w:val="00417695"/>
    <w:rsid w:val="00697125"/>
    <w:rsid w:val="008C50F6"/>
    <w:rsid w:val="00B02585"/>
    <w:rsid w:val="00D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1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17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81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17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17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3E9F41A84B6C682C4F867E954957FFE0513D05E675F8790A6F950FBB43402D811229517E60E83F6CB306E7E013998A74A70F68AE30C51445F4gD24K" TargetMode="External"/><Relationship Id="rId13" Type="http://schemas.openxmlformats.org/officeDocument/2006/relationships/hyperlink" Target="consultantplus://offline/ref=A9A93E9F41A84B6C682C518B68F91753F4E80E3004E47BAD245534C858B249176ACE4B6B157068E93A67E657A8E14FDCD867A70A68AD32DAg12FK" TargetMode="External"/><Relationship Id="rId18" Type="http://schemas.openxmlformats.org/officeDocument/2006/relationships/hyperlink" Target="consultantplus://offline/ref=A9A93E9F41A84B6C682C4F867E954957FFE0513D0DE779FF790A6F950FBB43402D811229517E60E83F6CB602E7E013998A74A70F68AE30C51445F4gD2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A93E9F41A84B6C682C4F867E954957FFE0513D09E374F27D0A6F950FBB43402D811229517E60E83F6CB300E7E013998A74A70F68AE30C51445F4gD24K" TargetMode="External"/><Relationship Id="rId7" Type="http://schemas.openxmlformats.org/officeDocument/2006/relationships/hyperlink" Target="consultantplus://offline/ref=A9A93E9F41A84B6C682C4F867E954957FFE0513D0DE171F97000329F07E24F422A8E4D3E56376CE93F6CB207E5BF168C9B2CAB0971B133D90847F5DCg521K" TargetMode="External"/><Relationship Id="rId12" Type="http://schemas.openxmlformats.org/officeDocument/2006/relationships/hyperlink" Target="consultantplus://offline/ref=A9A93E9F41A84B6C682C4F867E954957FFE0513D05E675F8790A6F950FBB43402D811229517E60E83F6CB002E7E013998A74A70F68AE30C51445F4gD24K" TargetMode="External"/><Relationship Id="rId17" Type="http://schemas.openxmlformats.org/officeDocument/2006/relationships/hyperlink" Target="consultantplus://offline/ref=A9A93E9F41A84B6C682C4F867E954957FFE0513D08E472F9780A6F950FBB43402D811229517E60E83F6CB301E7E013998A74A70F68AE30C51445F4gD2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A93E9F41A84B6C682C4F867E954957FFE0513D0EE778FA7D0A6F950FBB43402D811229517E60E83F6CB20FE7E013998A74A70F68AE30C51445F4gD24K" TargetMode="External"/><Relationship Id="rId20" Type="http://schemas.openxmlformats.org/officeDocument/2006/relationships/hyperlink" Target="consultantplus://offline/ref=A9A93E9F41A84B6C682C4F867E954957FFE0513D0EE179FE7B0A6F950FBB43402D811229517E60E83F6CB603E7E013998A74A70F68AE30C51445F4gD2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3E9F41A84B6C682C518B68F91753F6E90B350FEA26A72C0C38CA5FBD16126DDF4B6B126D60EA216EB207gE25K" TargetMode="External"/><Relationship Id="rId11" Type="http://schemas.openxmlformats.org/officeDocument/2006/relationships/hyperlink" Target="consultantplus://offline/ref=A9A93E9F41A84B6C682C4F867E954957FFE0513D05E675F8790A6F950FBB43402D811229517E60E83F6CB005E7E013998A74A70F68AE30C51445F4gD24K" TargetMode="External"/><Relationship Id="rId5" Type="http://schemas.openxmlformats.org/officeDocument/2006/relationships/hyperlink" Target="consultantplus://offline/ref=A9A93E9F41A84B6C682C4F867E954957FFE0513D0DE279F97C0A6F950FBB43402D811229517E60E83F6CB700E7E013998A74A70F68AE30C51445F4gD24K" TargetMode="External"/><Relationship Id="rId15" Type="http://schemas.openxmlformats.org/officeDocument/2006/relationships/hyperlink" Target="consultantplus://offline/ref=A9A93E9F41A84B6C682C518B68F91753F4E80E3004E47BAD245534C858B249176ACE4B68167060E36B3DF653E1B545C3DE7BB80A76AEg32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A93E9F41A84B6C682C4F867E954957FFE0513D09E474F3790A6F950FBB43402D811229517E60E83F6CB20EE7E013998A74A70F68AE30C51445F4gD24K" TargetMode="External"/><Relationship Id="rId19" Type="http://schemas.openxmlformats.org/officeDocument/2006/relationships/hyperlink" Target="consultantplus://offline/ref=A9A93E9F41A84B6C682C518B68F91753F4E80E3004E47BAD245534C858B249176ACE4B68167763E36B3DF653E1B545C3DE7BB80A76AEg32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93E9F41A84B6C682C518B68F91753F4E80E3004E47BAD245534C858B249176ACE4B68167B6ABC6E28E70BEDB35CDCDD67A40877gA26K" TargetMode="External"/><Relationship Id="rId14" Type="http://schemas.openxmlformats.org/officeDocument/2006/relationships/hyperlink" Target="consultantplus://offline/ref=A9A93E9F41A84B6C682C4F867E954957FFE0513D0AE074F9700A6F950FBB43402D811229517E60E83F6CB307E7E013998A74A70F68AE30C51445F4gD2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6</cp:revision>
  <cp:lastPrinted>2019-12-17T11:23:00Z</cp:lastPrinted>
  <dcterms:created xsi:type="dcterms:W3CDTF">2019-12-17T10:54:00Z</dcterms:created>
  <dcterms:modified xsi:type="dcterms:W3CDTF">2019-12-17T11:39:00Z</dcterms:modified>
</cp:coreProperties>
</file>