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60" w:rsidRPr="002A0655" w:rsidRDefault="00814E60" w:rsidP="00814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2A0655">
        <w:rPr>
          <w:rFonts w:ascii="Times New Roman" w:hAnsi="Times New Roman"/>
          <w:b/>
          <w:sz w:val="28"/>
          <w:szCs w:val="28"/>
          <w:u w:val="single"/>
        </w:rPr>
        <w:t>Извлечение</w:t>
      </w:r>
    </w:p>
    <w:p w:rsidR="00814E60" w:rsidRPr="002A0655" w:rsidRDefault="00814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4251" w:rsidRPr="002A0655" w:rsidRDefault="00CF4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ЗАКОН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A0655">
        <w:rPr>
          <w:rFonts w:ascii="Times New Roman" w:hAnsi="Times New Roman"/>
          <w:b/>
          <w:bCs/>
          <w:sz w:val="32"/>
          <w:szCs w:val="32"/>
        </w:rPr>
        <w:t>ЧУВАШСКОЙ РЕСПУБЛИКИ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A37C4" w:rsidRPr="009A37C4" w:rsidRDefault="009A37C4" w:rsidP="009A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A37C4">
        <w:rPr>
          <w:rFonts w:ascii="Times New Roman" w:hAnsi="Times New Roman"/>
          <w:b/>
          <w:sz w:val="32"/>
          <w:szCs w:val="32"/>
        </w:rPr>
        <w:t>О РАЗВИТИИ МАЛОГО И СРЕДНЕГО</w:t>
      </w:r>
    </w:p>
    <w:p w:rsidR="00A43CE7" w:rsidRPr="002A0655" w:rsidRDefault="009A37C4" w:rsidP="009A3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37C4">
        <w:rPr>
          <w:rFonts w:ascii="Times New Roman" w:hAnsi="Times New Roman"/>
          <w:b/>
          <w:sz w:val="32"/>
          <w:szCs w:val="32"/>
        </w:rPr>
        <w:t>ПРЕДПРИНИМАТЕЛЬСТВА В ЧУВАШСКОЙ РЕСПУБЛИКЕ</w:t>
      </w:r>
    </w:p>
    <w:p w:rsidR="00127BC0" w:rsidRPr="002A0655" w:rsidRDefault="00127B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proofErr w:type="gramStart"/>
      <w:r w:rsidRPr="002A0655">
        <w:rPr>
          <w:rFonts w:ascii="Times New Roman" w:hAnsi="Times New Roman"/>
          <w:i/>
          <w:sz w:val="26"/>
          <w:szCs w:val="26"/>
        </w:rPr>
        <w:t>Принят</w:t>
      </w:r>
      <w:proofErr w:type="gramEnd"/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Государственным Советом</w:t>
      </w:r>
    </w:p>
    <w:p w:rsidR="001F196F" w:rsidRPr="002A0655" w:rsidRDefault="001F1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2A0655">
        <w:rPr>
          <w:rFonts w:ascii="Times New Roman" w:hAnsi="Times New Roman"/>
          <w:i/>
          <w:sz w:val="26"/>
          <w:szCs w:val="26"/>
        </w:rPr>
        <w:t>Чувашской Республики</w:t>
      </w:r>
    </w:p>
    <w:p w:rsidR="001F196F" w:rsidRPr="002A0655" w:rsidRDefault="009A37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9A37C4">
        <w:rPr>
          <w:rFonts w:ascii="Times New Roman" w:hAnsi="Times New Roman"/>
          <w:i/>
          <w:sz w:val="26"/>
          <w:szCs w:val="26"/>
        </w:rPr>
        <w:t>9 октября 2009 года</w:t>
      </w:r>
    </w:p>
    <w:p w:rsidR="00383CD4" w:rsidRPr="002A0655" w:rsidRDefault="00383CD4" w:rsidP="00383CD4">
      <w:pPr>
        <w:pStyle w:val="ConsPlusNormal"/>
        <w:jc w:val="center"/>
        <w:rPr>
          <w:sz w:val="24"/>
          <w:szCs w:val="24"/>
        </w:rPr>
      </w:pPr>
    </w:p>
    <w:p w:rsidR="00CF4251" w:rsidRPr="002A0655" w:rsidRDefault="00CF4251" w:rsidP="00383CD4">
      <w:pPr>
        <w:pStyle w:val="ConsPlusNormal"/>
        <w:jc w:val="center"/>
        <w:rPr>
          <w:sz w:val="24"/>
          <w:szCs w:val="24"/>
        </w:rPr>
      </w:pPr>
    </w:p>
    <w:p w:rsidR="009A37C4" w:rsidRPr="009A37C4" w:rsidRDefault="00643A7C" w:rsidP="009A37C4">
      <w:pPr>
        <w:pStyle w:val="ConsPlusNormal"/>
        <w:jc w:val="center"/>
        <w:rPr>
          <w:szCs w:val="28"/>
        </w:rPr>
      </w:pPr>
      <w:proofErr w:type="gramStart"/>
      <w:r w:rsidRPr="002A0655">
        <w:rPr>
          <w:szCs w:val="28"/>
        </w:rPr>
        <w:t>(</w:t>
      </w:r>
      <w:r w:rsidR="009A37C4" w:rsidRPr="009A37C4">
        <w:rPr>
          <w:szCs w:val="28"/>
        </w:rPr>
        <w:t xml:space="preserve">в ред. Законов ЧР от 08.11.2010 </w:t>
      </w:r>
      <w:r w:rsidR="009A37C4">
        <w:rPr>
          <w:szCs w:val="28"/>
        </w:rPr>
        <w:t>№</w:t>
      </w:r>
      <w:r w:rsidR="009A37C4" w:rsidRPr="009A37C4">
        <w:rPr>
          <w:szCs w:val="28"/>
        </w:rPr>
        <w:t xml:space="preserve"> 48, от 21.11.2012 </w:t>
      </w:r>
      <w:r w:rsidR="009A37C4">
        <w:rPr>
          <w:szCs w:val="28"/>
        </w:rPr>
        <w:t>№</w:t>
      </w:r>
      <w:r w:rsidR="009A37C4" w:rsidRPr="009A37C4">
        <w:rPr>
          <w:szCs w:val="28"/>
        </w:rPr>
        <w:t xml:space="preserve"> 75,</w:t>
      </w:r>
      <w:proofErr w:type="gramEnd"/>
    </w:p>
    <w:p w:rsidR="009A37C4" w:rsidRPr="009A37C4" w:rsidRDefault="009A37C4" w:rsidP="009A37C4">
      <w:pPr>
        <w:pStyle w:val="ConsPlusNormal"/>
        <w:jc w:val="center"/>
        <w:rPr>
          <w:szCs w:val="28"/>
        </w:rPr>
      </w:pPr>
      <w:r w:rsidRPr="009A37C4">
        <w:rPr>
          <w:szCs w:val="28"/>
        </w:rPr>
        <w:t xml:space="preserve">от 21.11.2013 </w:t>
      </w:r>
      <w:r>
        <w:rPr>
          <w:szCs w:val="28"/>
        </w:rPr>
        <w:t>№</w:t>
      </w:r>
      <w:r w:rsidRPr="009A37C4">
        <w:rPr>
          <w:szCs w:val="28"/>
        </w:rPr>
        <w:t xml:space="preserve"> 79, от 14.12.2015 </w:t>
      </w:r>
      <w:r>
        <w:rPr>
          <w:szCs w:val="28"/>
        </w:rPr>
        <w:t>№</w:t>
      </w:r>
      <w:r w:rsidRPr="009A37C4">
        <w:rPr>
          <w:szCs w:val="28"/>
        </w:rPr>
        <w:t xml:space="preserve"> 81, от 18.06.2016 </w:t>
      </w:r>
      <w:r>
        <w:rPr>
          <w:szCs w:val="28"/>
        </w:rPr>
        <w:t>№</w:t>
      </w:r>
      <w:r w:rsidRPr="009A37C4">
        <w:rPr>
          <w:szCs w:val="28"/>
        </w:rPr>
        <w:t xml:space="preserve"> 31,</w:t>
      </w:r>
    </w:p>
    <w:p w:rsidR="00643A7C" w:rsidRPr="002A0655" w:rsidRDefault="009A37C4" w:rsidP="009A37C4">
      <w:pPr>
        <w:pStyle w:val="ConsPlusNormal"/>
        <w:jc w:val="center"/>
        <w:rPr>
          <w:szCs w:val="28"/>
        </w:rPr>
      </w:pPr>
      <w:r w:rsidRPr="009A37C4">
        <w:rPr>
          <w:szCs w:val="28"/>
        </w:rPr>
        <w:t xml:space="preserve">от 28.11.2016 </w:t>
      </w:r>
      <w:r>
        <w:rPr>
          <w:szCs w:val="28"/>
        </w:rPr>
        <w:t>№</w:t>
      </w:r>
      <w:r w:rsidRPr="009A37C4">
        <w:rPr>
          <w:szCs w:val="28"/>
        </w:rPr>
        <w:t xml:space="preserve"> 83</w:t>
      </w:r>
      <w:r w:rsidR="00643A7C" w:rsidRPr="002A0655">
        <w:rPr>
          <w:szCs w:val="28"/>
        </w:rPr>
        <w:t>)</w:t>
      </w:r>
    </w:p>
    <w:p w:rsidR="00643A7C" w:rsidRDefault="00643A7C" w:rsidP="00874A54">
      <w:pPr>
        <w:pStyle w:val="ConsPlusNormal"/>
        <w:jc w:val="center"/>
        <w:rPr>
          <w:szCs w:val="28"/>
        </w:rPr>
      </w:pPr>
    </w:p>
    <w:p w:rsidR="009A37C4" w:rsidRDefault="009A37C4" w:rsidP="009A37C4">
      <w:pPr>
        <w:spacing w:after="0" w:line="240" w:lineRule="auto"/>
        <w:ind w:left="1890" w:hanging="1316"/>
        <w:jc w:val="both"/>
        <w:outlineLvl w:val="0"/>
      </w:pPr>
      <w:r>
        <w:rPr>
          <w:rFonts w:ascii="Times New Roman" w:hAnsi="Times New Roman"/>
          <w:b/>
          <w:sz w:val="28"/>
        </w:rPr>
        <w:t>Статья 8. Инфраструктура поддержки субъектов м</w:t>
      </w:r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лого и среднего предпринимательства</w:t>
      </w:r>
    </w:p>
    <w:p w:rsidR="009A37C4" w:rsidRDefault="009A37C4" w:rsidP="009A37C4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 xml:space="preserve">1. </w:t>
      </w:r>
      <w:proofErr w:type="gramStart"/>
      <w:r>
        <w:rPr>
          <w:rFonts w:ascii="Times New Roman" w:hAnsi="Times New Roman"/>
          <w:sz w:val="28"/>
        </w:rPr>
        <w:t>Инфраструктура поддержки субъектов малого и среднего предприн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мательства включает в себя центры и агентства по развитию предприним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тельства, государственные и муниципальные фонды поддержки предприн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мательства, фонды содействия кредитованию (гарантийные фонды, фонды поручительства),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rFonts w:ascii="Times New Roman" w:hAnsi="Times New Roman"/>
          <w:sz w:val="28"/>
        </w:rPr>
        <w:t>инновационно</w:t>
      </w:r>
      <w:proofErr w:type="spellEnd"/>
      <w:r>
        <w:rPr>
          <w:rFonts w:ascii="Times New Roman" w:hAnsi="Times New Roman"/>
          <w:sz w:val="28"/>
        </w:rPr>
        <w:t>-технологические центры, бизнес-инкубаторы, палаты и центры ремесел, 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тры поддержки субподряда, маркетинговые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учебно-деловые центры, агентства по поддержке экспорта товаров, лизинговые компании, консульт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ционные центры, индустриальные (промышленные) парки, агропромышле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ные парки, центры 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rPr>
          <w:rFonts w:ascii="Times New Roman" w:hAnsi="Times New Roman"/>
          <w:sz w:val="28"/>
        </w:rPr>
        <w:t>прототипирования</w:t>
      </w:r>
      <w:proofErr w:type="spellEnd"/>
      <w:r>
        <w:rPr>
          <w:rFonts w:ascii="Times New Roman" w:hAnsi="Times New Roman"/>
          <w:sz w:val="28"/>
        </w:rPr>
        <w:t xml:space="preserve"> и промышленного дизайна, центры трансфера технологий, центры кластерного развития, государственные фонды поддер</w:t>
      </w:r>
      <w:r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ки научной, научно-технической, инновационной деятельности,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ющие деятельность в соответствии с законодательством Российской Федер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ции, </w:t>
      </w:r>
      <w:proofErr w:type="spellStart"/>
      <w:r>
        <w:rPr>
          <w:rFonts w:ascii="Times New Roman" w:hAnsi="Times New Roman"/>
          <w:sz w:val="28"/>
        </w:rPr>
        <w:t>микрофинансовые</w:t>
      </w:r>
      <w:proofErr w:type="spellEnd"/>
      <w:r>
        <w:rPr>
          <w:rFonts w:ascii="Times New Roman" w:hAnsi="Times New Roman"/>
          <w:sz w:val="28"/>
        </w:rPr>
        <w:t xml:space="preserve"> организации, предоставляющие </w:t>
      </w:r>
      <w:proofErr w:type="spellStart"/>
      <w:r>
        <w:rPr>
          <w:rFonts w:ascii="Times New Roman" w:hAnsi="Times New Roman"/>
          <w:sz w:val="28"/>
        </w:rPr>
        <w:t>микрозаймы</w:t>
      </w:r>
      <w:proofErr w:type="spellEnd"/>
      <w:r>
        <w:rPr>
          <w:rFonts w:ascii="Times New Roman" w:hAnsi="Times New Roman"/>
          <w:sz w:val="28"/>
        </w:rPr>
        <w:t xml:space="preserve"> субъе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там малого 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среднего предпринимательства и соответствующие критериям, установленным нормативным актом Центрального банка Российской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рации по согласованию с федеральным органом исполнительной власти, осуществляющим функции по выработке государственной политики и но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мативно-правовому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>
        <w:rPr>
          <w:rFonts w:ascii="Times New Roman" w:hAnsi="Times New Roman"/>
          <w:sz w:val="28"/>
        </w:rPr>
        <w:t>микрофинансовые</w:t>
      </w:r>
      <w:proofErr w:type="spellEnd"/>
      <w:r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ганизации предпринимательского финансирования), организации, осущест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ляющие управление технопарками (технологическими парками), </w:t>
      </w:r>
      <w:proofErr w:type="spellStart"/>
      <w:r>
        <w:rPr>
          <w:rFonts w:ascii="Times New Roman" w:hAnsi="Times New Roman"/>
          <w:sz w:val="28"/>
        </w:rPr>
        <w:t>технопол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сами</w:t>
      </w:r>
      <w:proofErr w:type="spellEnd"/>
      <w:r>
        <w:rPr>
          <w:rFonts w:ascii="Times New Roman" w:hAnsi="Times New Roman"/>
          <w:sz w:val="28"/>
        </w:rPr>
        <w:t>, научными парками, индустриальными (промышленными) парками, а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ропромышленными парками, центры инноваций</w:t>
      </w:r>
      <w:proofErr w:type="gramEnd"/>
      <w:r>
        <w:rPr>
          <w:rFonts w:ascii="Times New Roman" w:hAnsi="Times New Roman"/>
          <w:sz w:val="28"/>
        </w:rPr>
        <w:t xml:space="preserve"> социальной сферы, 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тры сертификации, стандартизации и испытаний, центры поддержки наро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ных художественных промыслов, центры развития сельского и экологич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ского туризма, многофункциональные центры предоставления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и муниципальных услуг, предоставляющие услуги субъектам малого и средн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 предпринимательства, и иные организации.</w:t>
      </w:r>
    </w:p>
    <w:p w:rsidR="009A37C4" w:rsidRDefault="009A37C4" w:rsidP="009A37C4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2. Организации, образующие инфраструктуру поддержки субъектов 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лого и среднего предпринимательства, могут осуществлять свою деятел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ность по территориальному и (или) отраслевому принципу.</w:t>
      </w:r>
    </w:p>
    <w:p w:rsidR="009A37C4" w:rsidRDefault="009A37C4" w:rsidP="009A37C4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Требования к организациям, образующим инфраструктуру поддержки субъектов малого и среднего предпринимательства, устанавливаются 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ральным органом исполнительной власти, осуществляющим функции по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работке государственной политики и нормативно-правовому регулированию в сфере развития предпринимательской деятельности, в том числе среднего     и малого бизнеса, органами государственной власти Чувашской Республики, органами местного самоуправления при реализации соответственно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ственных программ (подпрограмм) Российской Федерации, государственных программ Чувашской Республики (подпрограмм государственных программ</w:t>
      </w:r>
      <w:proofErr w:type="gramEnd"/>
      <w:r>
        <w:rPr>
          <w:rFonts w:ascii="Times New Roman" w:hAnsi="Times New Roman"/>
          <w:sz w:val="28"/>
        </w:rPr>
        <w:t xml:space="preserve"> Чувашской Республики), муниципальных программ (подпрограмм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пальных программ), если иное не установлено </w:t>
      </w:r>
      <w:r w:rsidRPr="009A37C4">
        <w:rPr>
          <w:rFonts w:ascii="Times New Roman" w:hAnsi="Times New Roman"/>
          <w:sz w:val="28"/>
        </w:rPr>
        <w:t xml:space="preserve">Федеральным </w:t>
      </w:r>
      <w:hyperlink r:id="rId7" w:history="1">
        <w:r w:rsidRPr="009A37C4">
          <w:rPr>
            <w:rFonts w:ascii="Times New Roman" w:hAnsi="Times New Roman"/>
            <w:sz w:val="28"/>
          </w:rPr>
          <w:t>законом</w:t>
        </w:r>
      </w:hyperlink>
      <w:r w:rsidRPr="009A37C4">
        <w:rPr>
          <w:rFonts w:ascii="Times New Roman" w:hAnsi="Times New Roman"/>
          <w:sz w:val="28"/>
        </w:rPr>
        <w:t xml:space="preserve"> "О </w:t>
      </w:r>
      <w:r>
        <w:rPr>
          <w:rFonts w:ascii="Times New Roman" w:hAnsi="Times New Roman"/>
          <w:sz w:val="28"/>
        </w:rPr>
        <w:t>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витии малого и среднего предпринимательства в Российской Федерации".</w:t>
      </w:r>
    </w:p>
    <w:p w:rsidR="009A37C4" w:rsidRDefault="009A37C4" w:rsidP="009A37C4">
      <w:pPr>
        <w:spacing w:after="0" w:line="240" w:lineRule="auto"/>
        <w:ind w:firstLine="540"/>
        <w:jc w:val="both"/>
      </w:pPr>
      <w:bookmarkStart w:id="0" w:name="P8"/>
      <w:bookmarkEnd w:id="0"/>
      <w:r>
        <w:rPr>
          <w:rFonts w:ascii="Times New Roman" w:hAnsi="Times New Roman"/>
          <w:sz w:val="28"/>
        </w:rPr>
        <w:t>2.1. Уполномоченный орган направляет в акционерное общество "Фед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ральная корпорация по развитию малого и среднего предпринимательства" (далее - корпорация развития малого и среднего предпринимательства):</w:t>
      </w:r>
    </w:p>
    <w:p w:rsidR="009A37C4" w:rsidRDefault="009A37C4" w:rsidP="009A37C4">
      <w:pPr>
        <w:spacing w:after="0" w:line="240" w:lineRule="auto"/>
        <w:ind w:firstLine="540"/>
        <w:jc w:val="both"/>
      </w:pPr>
      <w:bookmarkStart w:id="1" w:name="P9"/>
      <w:bookmarkEnd w:id="1"/>
      <w:proofErr w:type="gramStart"/>
      <w:r>
        <w:rPr>
          <w:rFonts w:ascii="Times New Roman" w:hAnsi="Times New Roman"/>
          <w:sz w:val="28"/>
        </w:rPr>
        <w:t>1) сведения об организациях, образующих инфраструктуру поддержки субъектов малого и среднего предпринимательства, создаваемых или созда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полностью или частично за счет средств федерального бюджета на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ритории Чувашской Республики при реализации государственных программ (подпрограмм) Российской Федерации, государственных программ Чува</w:t>
      </w:r>
      <w:r>
        <w:rPr>
          <w:rFonts w:ascii="Times New Roman" w:hAnsi="Times New Roman"/>
          <w:sz w:val="28"/>
        </w:rPr>
        <w:t>ш</w:t>
      </w:r>
      <w:r>
        <w:rPr>
          <w:rFonts w:ascii="Times New Roman" w:hAnsi="Times New Roman"/>
          <w:sz w:val="28"/>
        </w:rPr>
        <w:t>ской Республики (подпрограмм государственных программ Чувашской      Республики), муниципальных программ (подпрограмм муниципальных      программ), иных федеральных программ развития малого и среднего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принимательства, региональных программ развития малого</w:t>
      </w:r>
      <w:proofErr w:type="gramEnd"/>
      <w:r>
        <w:rPr>
          <w:rFonts w:ascii="Times New Roman" w:hAnsi="Times New Roman"/>
          <w:sz w:val="28"/>
        </w:rPr>
        <w:t xml:space="preserve"> и среднего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принимательства и муниципальных программ развития малого и среднего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принимательства и соответствующих требованиям федерального органа исполнительной власти, осуществляющего функции по выработке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ственной политики и нормативно-правовому регулированию в сфере разв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тия предпринимательской деятельности, в том числе среднего и малого би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неса;</w:t>
      </w:r>
    </w:p>
    <w:p w:rsidR="009A37C4" w:rsidRPr="009A37C4" w:rsidRDefault="009A37C4" w:rsidP="009A37C4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/>
          <w:sz w:val="28"/>
        </w:rPr>
        <w:t>2) сведения об организациях, образующих инфраструктуру поддержки субъектов малого и среднего предпринимательства, создаваемых или созда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полностью или частично за счет средств республиканского бюджета Ч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вашской Республики и (или) местных бюджетов на территории Чувашской Республики при реализации государственных программ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lastRenderedPageBreak/>
        <w:t>лики (подпрограмм государственных программ Чувашской Республики),  муниципальных программ (подпрограмм муниципальных программ), иных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гиональных программ развития малого и среднего предпринимательства и муниципальных программ</w:t>
      </w:r>
      <w:proofErr w:type="gramEnd"/>
      <w:r>
        <w:rPr>
          <w:rFonts w:ascii="Times New Roman" w:hAnsi="Times New Roman"/>
          <w:sz w:val="28"/>
        </w:rPr>
        <w:t xml:space="preserve"> развития малого и среднего предпринимательства, за исключением организаций, </w:t>
      </w:r>
      <w:r w:rsidRPr="009A37C4">
        <w:rPr>
          <w:rFonts w:ascii="Times New Roman" w:hAnsi="Times New Roman"/>
          <w:sz w:val="28"/>
        </w:rPr>
        <w:t xml:space="preserve">предусмотренных </w:t>
      </w:r>
      <w:hyperlink w:anchor="P9" w:history="1">
        <w:r w:rsidRPr="009A37C4">
          <w:rPr>
            <w:rFonts w:ascii="Times New Roman" w:hAnsi="Times New Roman"/>
            <w:sz w:val="28"/>
          </w:rPr>
          <w:t>пунктом 1</w:t>
        </w:r>
      </w:hyperlink>
      <w:r w:rsidRPr="009A37C4">
        <w:rPr>
          <w:rFonts w:ascii="Times New Roman" w:hAnsi="Times New Roman"/>
          <w:sz w:val="28"/>
        </w:rPr>
        <w:t xml:space="preserve"> настоящей части, и соответствующих требованиям нормативного правового акта Кабинета Министров Чувашской Республики.</w:t>
      </w:r>
    </w:p>
    <w:p w:rsidR="009A37C4" w:rsidRDefault="009A37C4" w:rsidP="009A37C4">
      <w:pPr>
        <w:spacing w:after="0" w:line="240" w:lineRule="auto"/>
        <w:ind w:firstLine="540"/>
        <w:jc w:val="both"/>
      </w:pPr>
      <w:r w:rsidRPr="009A37C4">
        <w:rPr>
          <w:rFonts w:ascii="Times New Roman" w:hAnsi="Times New Roman"/>
          <w:sz w:val="28"/>
        </w:rPr>
        <w:t xml:space="preserve">2.2. В соответствии с законодательством Российской Федерации состав сведений, предусмотренных </w:t>
      </w:r>
      <w:hyperlink w:anchor="P8" w:history="1">
        <w:r w:rsidRPr="009A37C4">
          <w:rPr>
            <w:rFonts w:ascii="Times New Roman" w:hAnsi="Times New Roman"/>
            <w:sz w:val="28"/>
          </w:rPr>
          <w:t>частью 2.1</w:t>
        </w:r>
      </w:hyperlink>
      <w:r w:rsidRPr="009A37C4">
        <w:rPr>
          <w:rFonts w:ascii="Times New Roman" w:hAnsi="Times New Roman"/>
          <w:sz w:val="28"/>
        </w:rPr>
        <w:t xml:space="preserve"> настоящей статьи</w:t>
      </w:r>
      <w:r>
        <w:rPr>
          <w:rFonts w:ascii="Times New Roman" w:hAnsi="Times New Roman"/>
          <w:sz w:val="28"/>
        </w:rPr>
        <w:t>, сроки, порядок     и форма их направления устанавливаются федеральным органом исполн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тельной власти, осуществляющим функции по выработке государственной политики и нормативно-правовому регулированию в сфере развития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мательской деятельности, в том числе среднего и малого бизнеса.</w:t>
      </w:r>
    </w:p>
    <w:p w:rsidR="009A37C4" w:rsidRDefault="009A37C4" w:rsidP="009A37C4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</w:rPr>
        <w:t>3. Предоставление поддержки организациям, образующим инфрастру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туру поддержки субъектов малого и среднего предпринимательства, 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ществляется в соответствии с законодательством Российской Федерации, настоящим Законом и нормативными правовыми актами Чувашской Респу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лики.</w:t>
      </w:r>
    </w:p>
    <w:p w:rsidR="009A37C4" w:rsidRPr="009A37C4" w:rsidRDefault="009A37C4" w:rsidP="009A37C4">
      <w:pPr>
        <w:spacing w:after="0" w:line="240" w:lineRule="auto"/>
        <w:ind w:firstLine="540"/>
        <w:jc w:val="both"/>
        <w:rPr>
          <w:spacing w:val="-2"/>
        </w:rPr>
      </w:pPr>
      <w:r w:rsidRPr="009A37C4">
        <w:rPr>
          <w:rFonts w:ascii="Times New Roman" w:hAnsi="Times New Roman"/>
          <w:spacing w:val="-2"/>
          <w:sz w:val="28"/>
        </w:rPr>
        <w:t>4. Условия и порядок оказания поддержки организациям, образующим инфраструктуру поддержки субъектов малого и среднего предпринимател</w:t>
      </w:r>
      <w:r w:rsidRPr="009A37C4">
        <w:rPr>
          <w:rFonts w:ascii="Times New Roman" w:hAnsi="Times New Roman"/>
          <w:spacing w:val="-2"/>
          <w:sz w:val="28"/>
        </w:rPr>
        <w:t>ь</w:t>
      </w:r>
      <w:r w:rsidRPr="009A37C4">
        <w:rPr>
          <w:rFonts w:ascii="Times New Roman" w:hAnsi="Times New Roman"/>
          <w:spacing w:val="-2"/>
          <w:sz w:val="28"/>
        </w:rPr>
        <w:t>ства, устанавливаются нормативными правовы</w:t>
      </w:r>
      <w:bookmarkStart w:id="2" w:name="_GoBack"/>
      <w:bookmarkEnd w:id="2"/>
      <w:r w:rsidRPr="009A37C4">
        <w:rPr>
          <w:rFonts w:ascii="Times New Roman" w:hAnsi="Times New Roman"/>
          <w:spacing w:val="-2"/>
          <w:sz w:val="28"/>
        </w:rPr>
        <w:t>ми актами Российской Федер</w:t>
      </w:r>
      <w:r w:rsidRPr="009A37C4">
        <w:rPr>
          <w:rFonts w:ascii="Times New Roman" w:hAnsi="Times New Roman"/>
          <w:spacing w:val="-2"/>
          <w:sz w:val="28"/>
        </w:rPr>
        <w:t>а</w:t>
      </w:r>
      <w:r w:rsidRPr="009A37C4">
        <w:rPr>
          <w:rFonts w:ascii="Times New Roman" w:hAnsi="Times New Roman"/>
          <w:spacing w:val="-2"/>
          <w:sz w:val="28"/>
        </w:rPr>
        <w:t>ции, нормативными правовыми актами Чувашской Республики, принимаем</w:t>
      </w:r>
      <w:r w:rsidRPr="009A37C4">
        <w:rPr>
          <w:rFonts w:ascii="Times New Roman" w:hAnsi="Times New Roman"/>
          <w:spacing w:val="-2"/>
          <w:sz w:val="28"/>
        </w:rPr>
        <w:t>ы</w:t>
      </w:r>
      <w:r w:rsidRPr="009A37C4">
        <w:rPr>
          <w:rFonts w:ascii="Times New Roman" w:hAnsi="Times New Roman"/>
          <w:spacing w:val="-2"/>
          <w:sz w:val="28"/>
        </w:rPr>
        <w:t>ми в целях реализации государственных программ (подпрограмм) Росси</w:t>
      </w:r>
      <w:r w:rsidRPr="009A37C4">
        <w:rPr>
          <w:rFonts w:ascii="Times New Roman" w:hAnsi="Times New Roman"/>
          <w:spacing w:val="-2"/>
          <w:sz w:val="28"/>
        </w:rPr>
        <w:t>й</w:t>
      </w:r>
      <w:r w:rsidRPr="009A37C4">
        <w:rPr>
          <w:rFonts w:ascii="Times New Roman" w:hAnsi="Times New Roman"/>
          <w:spacing w:val="-2"/>
          <w:sz w:val="28"/>
        </w:rPr>
        <w:t>ской Федерации, государственных программ Чувашской Республики (по</w:t>
      </w:r>
      <w:r w:rsidRPr="009A37C4">
        <w:rPr>
          <w:rFonts w:ascii="Times New Roman" w:hAnsi="Times New Roman"/>
          <w:spacing w:val="-2"/>
          <w:sz w:val="28"/>
        </w:rPr>
        <w:t>д</w:t>
      </w:r>
      <w:r w:rsidRPr="009A37C4">
        <w:rPr>
          <w:rFonts w:ascii="Times New Roman" w:hAnsi="Times New Roman"/>
          <w:spacing w:val="-2"/>
          <w:sz w:val="28"/>
        </w:rPr>
        <w:t>программ государственных программ Чувашской Республики).</w:t>
      </w:r>
    </w:p>
    <w:p w:rsidR="009A37C4" w:rsidRDefault="009A37C4" w:rsidP="009A37C4">
      <w:pPr>
        <w:spacing w:after="0" w:line="240" w:lineRule="auto"/>
      </w:pPr>
    </w:p>
    <w:p w:rsidR="009A37C4" w:rsidRDefault="009A37C4" w:rsidP="009A37C4">
      <w:pPr>
        <w:spacing w:after="0" w:line="240" w:lineRule="auto"/>
      </w:pPr>
    </w:p>
    <w:p w:rsidR="009A37C4" w:rsidRDefault="009A37C4" w:rsidP="009A37C4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Президент</w:t>
      </w:r>
    </w:p>
    <w:p w:rsidR="009A37C4" w:rsidRDefault="009A37C4" w:rsidP="009A37C4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Чувашской Республики</w:t>
      </w:r>
    </w:p>
    <w:p w:rsidR="009A37C4" w:rsidRDefault="009A37C4" w:rsidP="009A37C4">
      <w:pPr>
        <w:spacing w:after="0" w:line="240" w:lineRule="auto"/>
        <w:jc w:val="right"/>
      </w:pPr>
      <w:r>
        <w:rPr>
          <w:rFonts w:ascii="Times New Roman" w:hAnsi="Times New Roman"/>
          <w:sz w:val="28"/>
        </w:rPr>
        <w:t>Н.ФЕДОРОВ</w:t>
      </w:r>
    </w:p>
    <w:p w:rsidR="009A37C4" w:rsidRDefault="009A37C4" w:rsidP="009A37C4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г. Чебоксары</w:t>
      </w:r>
    </w:p>
    <w:p w:rsidR="009A37C4" w:rsidRDefault="009A37C4" w:rsidP="009A37C4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19 октября 2009 года</w:t>
      </w:r>
    </w:p>
    <w:p w:rsidR="009A37C4" w:rsidRDefault="009A37C4" w:rsidP="009A37C4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№ 51</w:t>
      </w:r>
    </w:p>
    <w:sectPr w:rsidR="009A37C4" w:rsidSect="00293F33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D06" w:rsidRDefault="00CC4D06" w:rsidP="00FD6FD2">
      <w:pPr>
        <w:spacing w:after="0" w:line="240" w:lineRule="auto"/>
      </w:pPr>
      <w:r>
        <w:separator/>
      </w:r>
    </w:p>
  </w:endnote>
  <w:end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D06" w:rsidRDefault="00CC4D06" w:rsidP="00FD6FD2">
      <w:pPr>
        <w:spacing w:after="0" w:line="240" w:lineRule="auto"/>
      </w:pPr>
      <w:r>
        <w:separator/>
      </w:r>
    </w:p>
  </w:footnote>
  <w:footnote w:type="continuationSeparator" w:id="0">
    <w:p w:rsidR="00CC4D06" w:rsidRDefault="00CC4D06" w:rsidP="00FD6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A61" w:rsidRPr="00466601" w:rsidRDefault="00751A61">
    <w:pPr>
      <w:pStyle w:val="a3"/>
      <w:jc w:val="center"/>
      <w:rPr>
        <w:rFonts w:ascii="Times New Roman" w:hAnsi="Times New Roman"/>
        <w:sz w:val="24"/>
        <w:szCs w:val="24"/>
      </w:rPr>
    </w:pPr>
    <w:r w:rsidRPr="00466601">
      <w:rPr>
        <w:rFonts w:ascii="Times New Roman" w:hAnsi="Times New Roman"/>
        <w:sz w:val="24"/>
        <w:szCs w:val="24"/>
      </w:rPr>
      <w:fldChar w:fldCharType="begin"/>
    </w:r>
    <w:r w:rsidRPr="00466601">
      <w:rPr>
        <w:rFonts w:ascii="Times New Roman" w:hAnsi="Times New Roman"/>
        <w:sz w:val="24"/>
        <w:szCs w:val="24"/>
      </w:rPr>
      <w:instrText>PAGE   \* MERGEFORMAT</w:instrText>
    </w:r>
    <w:r w:rsidRPr="00466601">
      <w:rPr>
        <w:rFonts w:ascii="Times New Roman" w:hAnsi="Times New Roman"/>
        <w:sz w:val="24"/>
        <w:szCs w:val="24"/>
      </w:rPr>
      <w:fldChar w:fldCharType="separate"/>
    </w:r>
    <w:r w:rsidR="009A37C4">
      <w:rPr>
        <w:rFonts w:ascii="Times New Roman" w:hAnsi="Times New Roman"/>
        <w:noProof/>
        <w:sz w:val="24"/>
        <w:szCs w:val="24"/>
      </w:rPr>
      <w:t>3</w:t>
    </w:r>
    <w:r w:rsidRPr="00466601">
      <w:rPr>
        <w:rFonts w:ascii="Times New Roman" w:hAnsi="Times New Roman"/>
        <w:sz w:val="24"/>
        <w:szCs w:val="24"/>
      </w:rPr>
      <w:fldChar w:fldCharType="end"/>
    </w:r>
  </w:p>
  <w:p w:rsidR="00751A61" w:rsidRDefault="00751A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6F"/>
    <w:rsid w:val="00016792"/>
    <w:rsid w:val="00033D8E"/>
    <w:rsid w:val="00041135"/>
    <w:rsid w:val="000540B3"/>
    <w:rsid w:val="000B6110"/>
    <w:rsid w:val="000D2A48"/>
    <w:rsid w:val="00104948"/>
    <w:rsid w:val="00127BC0"/>
    <w:rsid w:val="00175F7B"/>
    <w:rsid w:val="00193624"/>
    <w:rsid w:val="001F196F"/>
    <w:rsid w:val="002877CD"/>
    <w:rsid w:val="00293F33"/>
    <w:rsid w:val="002A0655"/>
    <w:rsid w:val="002A3941"/>
    <w:rsid w:val="003637DE"/>
    <w:rsid w:val="00383CD4"/>
    <w:rsid w:val="003C6144"/>
    <w:rsid w:val="003D5DAA"/>
    <w:rsid w:val="00426FFE"/>
    <w:rsid w:val="00466601"/>
    <w:rsid w:val="004A2762"/>
    <w:rsid w:val="004F685D"/>
    <w:rsid w:val="00526FD1"/>
    <w:rsid w:val="00545561"/>
    <w:rsid w:val="00553631"/>
    <w:rsid w:val="005621E8"/>
    <w:rsid w:val="005834FD"/>
    <w:rsid w:val="00583AFA"/>
    <w:rsid w:val="005A42F6"/>
    <w:rsid w:val="005C1AC1"/>
    <w:rsid w:val="00643A7C"/>
    <w:rsid w:val="00694B1B"/>
    <w:rsid w:val="006954D5"/>
    <w:rsid w:val="006C4980"/>
    <w:rsid w:val="006E1D4A"/>
    <w:rsid w:val="00751A61"/>
    <w:rsid w:val="00754E6C"/>
    <w:rsid w:val="00766F73"/>
    <w:rsid w:val="007E65A3"/>
    <w:rsid w:val="00814E60"/>
    <w:rsid w:val="00870A79"/>
    <w:rsid w:val="00874A54"/>
    <w:rsid w:val="00887A8A"/>
    <w:rsid w:val="00896642"/>
    <w:rsid w:val="008B3D32"/>
    <w:rsid w:val="008D0D04"/>
    <w:rsid w:val="0091668E"/>
    <w:rsid w:val="009207F3"/>
    <w:rsid w:val="009648A5"/>
    <w:rsid w:val="009A37C4"/>
    <w:rsid w:val="009A75AF"/>
    <w:rsid w:val="009C348B"/>
    <w:rsid w:val="009E48F0"/>
    <w:rsid w:val="00A43CE7"/>
    <w:rsid w:val="00AD1C26"/>
    <w:rsid w:val="00AF08B1"/>
    <w:rsid w:val="00AF3FB5"/>
    <w:rsid w:val="00B01A29"/>
    <w:rsid w:val="00B05D22"/>
    <w:rsid w:val="00B87A4C"/>
    <w:rsid w:val="00B935A0"/>
    <w:rsid w:val="00BC1002"/>
    <w:rsid w:val="00BE08DB"/>
    <w:rsid w:val="00C113A1"/>
    <w:rsid w:val="00C45025"/>
    <w:rsid w:val="00C55DA1"/>
    <w:rsid w:val="00C76567"/>
    <w:rsid w:val="00CB7BE6"/>
    <w:rsid w:val="00CC4D06"/>
    <w:rsid w:val="00CD0E31"/>
    <w:rsid w:val="00CF2581"/>
    <w:rsid w:val="00CF4251"/>
    <w:rsid w:val="00D5086B"/>
    <w:rsid w:val="00D56015"/>
    <w:rsid w:val="00D969D8"/>
    <w:rsid w:val="00DA38EA"/>
    <w:rsid w:val="00DA3CA3"/>
    <w:rsid w:val="00DC0296"/>
    <w:rsid w:val="00DC08CC"/>
    <w:rsid w:val="00E24DA7"/>
    <w:rsid w:val="00E702D7"/>
    <w:rsid w:val="00EE1F19"/>
    <w:rsid w:val="00EE4EFF"/>
    <w:rsid w:val="00F47E28"/>
    <w:rsid w:val="00F60D5D"/>
    <w:rsid w:val="00FA1E28"/>
    <w:rsid w:val="00FD6FD2"/>
    <w:rsid w:val="00FE049F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D2"/>
  </w:style>
  <w:style w:type="paragraph" w:styleId="a5">
    <w:name w:val="footer"/>
    <w:basedOn w:val="a"/>
    <w:link w:val="a6"/>
    <w:uiPriority w:val="99"/>
    <w:unhideWhenUsed/>
    <w:rsid w:val="00FD6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D2"/>
  </w:style>
  <w:style w:type="paragraph" w:customStyle="1" w:styleId="ConsPlusNormal">
    <w:name w:val="ConsPlusNormal"/>
    <w:rsid w:val="007E65A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83CD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A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D62FB43731905230E460FEBEC47373EF9E847896C94F91CDD494C28D6E2FEE851C33B2560A724B8A7B697E65rAw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Links>
    <vt:vector size="60" baseType="variant">
      <vt:variant>
        <vt:i4>4521985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consultantplus://offline/ref=46B4C3681E3AF057DD8DCE510C175EB3EB40E3BD40C1893FD978C9C4614E0A70704BCEBB121740D37262CD24233F41D4C6CD126D5F94179E2D7866G00CG</vt:lpwstr>
      </vt:variant>
      <vt:variant>
        <vt:lpwstr/>
      </vt:variant>
      <vt:variant>
        <vt:i4>2949174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2949223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2949168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2949221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consultantplus://offline/ref=46B4C3681E3AF057DD8DD05C1A7B00B7E143BBB948C28A6E8127929936470027370497F9561A41D674699C716C3E1D9393DE106C5F971681G207G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consultantplus://offline/ref=46B4C3681E3AF057DD8DD05C1A7B00B7E143BBB948C28A6E8127929936470027370497F9561A40D273699C716C3E1D9393DE106C5F971681G207G</vt:lpwstr>
      </vt:variant>
      <vt:variant>
        <vt:lpwstr/>
      </vt:variant>
      <vt:variant>
        <vt:i4>2949216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consultantplus://offline/ref=46B4C3681E3AF057DD8DD05C1A7B00B7E143BBB948C28A6E8127929936470027370497F9561A41D572699C716C3E1D9393DE106C5F971681G207G</vt:lpwstr>
      </vt:variant>
      <vt:variant>
        <vt:lpwstr/>
      </vt:variant>
      <vt:variant>
        <vt:i4>2949168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consultantplus://offline/ref=46B4C3681E3AF057DD8DD05C1A7B00B7E143BBB948C28A6E8127929936470027370497F9561A41D67A699C716C3E1D9393DE106C5F971681G207G</vt:lpwstr>
      </vt:variant>
      <vt:variant>
        <vt:lpwstr/>
      </vt:variant>
      <vt:variant>
        <vt:i4>2949174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consultantplus://offline/ref=46B4C3681E3AF057DD8DD05C1A7B00B7E143BBB948C28A6E8127929936470027370497F9561A40DA71699C716C3E1D9393DE106C5F971681G207G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consultantplus://offline/ref=46B4C3681E3AF057DD8DD05C1A7B00B7E143BBB948C28A6E8127929936470027370497F9561A40DA73699C716C3E1D9393DE106C5F971681G207G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Копылова</cp:lastModifiedBy>
  <cp:revision>3</cp:revision>
  <cp:lastPrinted>2019-02-18T07:51:00Z</cp:lastPrinted>
  <dcterms:created xsi:type="dcterms:W3CDTF">2019-02-18T07:47:00Z</dcterms:created>
  <dcterms:modified xsi:type="dcterms:W3CDTF">2019-02-18T07:51:00Z</dcterms:modified>
</cp:coreProperties>
</file>