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2A0655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0655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2A0655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251" w:rsidRPr="002A0655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D6AA1" w:rsidRDefault="00ED6AA1" w:rsidP="009A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D6AA1">
        <w:rPr>
          <w:rFonts w:ascii="Times New Roman" w:hAnsi="Times New Roman"/>
          <w:b/>
          <w:sz w:val="32"/>
          <w:szCs w:val="32"/>
        </w:rPr>
        <w:t xml:space="preserve">О СТРАТЕГИЧЕСКОМ ПЛАНИРОВАНИИ </w:t>
      </w:r>
    </w:p>
    <w:p w:rsidR="00A43CE7" w:rsidRPr="002A0655" w:rsidRDefault="00ED6AA1" w:rsidP="009A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6AA1">
        <w:rPr>
          <w:rFonts w:ascii="Times New Roman" w:hAnsi="Times New Roman"/>
          <w:b/>
          <w:sz w:val="32"/>
          <w:szCs w:val="32"/>
        </w:rPr>
        <w:t>В ЧУВАШСКОЙ РЕСПУБЛИКЕ</w:t>
      </w:r>
    </w:p>
    <w:p w:rsidR="00127BC0" w:rsidRPr="002A0655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2A0655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2A0655" w:rsidRDefault="001A5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1A5A3A">
        <w:rPr>
          <w:rFonts w:ascii="Times New Roman" w:hAnsi="Times New Roman"/>
          <w:i/>
          <w:sz w:val="26"/>
          <w:szCs w:val="26"/>
        </w:rPr>
        <w:t>8 февраля 2018 года</w:t>
      </w:r>
    </w:p>
    <w:p w:rsidR="00383CD4" w:rsidRPr="002A0655" w:rsidRDefault="00383CD4" w:rsidP="00383CD4">
      <w:pPr>
        <w:pStyle w:val="ConsPlusNormal"/>
        <w:jc w:val="center"/>
        <w:rPr>
          <w:sz w:val="24"/>
          <w:szCs w:val="24"/>
        </w:rPr>
      </w:pPr>
    </w:p>
    <w:p w:rsidR="00CF4251" w:rsidRPr="002A0655" w:rsidRDefault="00CF4251" w:rsidP="00383CD4">
      <w:pPr>
        <w:pStyle w:val="ConsPlusNormal"/>
        <w:jc w:val="center"/>
        <w:rPr>
          <w:sz w:val="24"/>
          <w:szCs w:val="24"/>
        </w:rPr>
      </w:pPr>
    </w:p>
    <w:p w:rsidR="00643A7C" w:rsidRPr="002A0655" w:rsidRDefault="00643A7C" w:rsidP="001A5A3A">
      <w:pPr>
        <w:pStyle w:val="ConsPlusNormal"/>
        <w:jc w:val="center"/>
        <w:rPr>
          <w:szCs w:val="28"/>
        </w:rPr>
      </w:pPr>
      <w:r w:rsidRPr="002A0655">
        <w:rPr>
          <w:szCs w:val="28"/>
        </w:rPr>
        <w:t>(</w:t>
      </w:r>
      <w:r w:rsidR="001A5A3A" w:rsidRPr="001A5A3A">
        <w:rPr>
          <w:szCs w:val="28"/>
        </w:rPr>
        <w:t xml:space="preserve">в ред. Закона ЧР от 04.06.2019 </w:t>
      </w:r>
      <w:r w:rsidR="001A5A3A">
        <w:rPr>
          <w:szCs w:val="28"/>
        </w:rPr>
        <w:t>№</w:t>
      </w:r>
      <w:r w:rsidR="001A5A3A" w:rsidRPr="001A5A3A">
        <w:rPr>
          <w:szCs w:val="28"/>
        </w:rPr>
        <w:t xml:space="preserve"> 44</w:t>
      </w:r>
      <w:r w:rsidRPr="002A0655">
        <w:rPr>
          <w:szCs w:val="28"/>
        </w:rPr>
        <w:t>)</w:t>
      </w:r>
    </w:p>
    <w:p w:rsidR="00643A7C" w:rsidRDefault="00643A7C" w:rsidP="001A5A3A">
      <w:pPr>
        <w:pStyle w:val="ConsPlusNormal"/>
        <w:jc w:val="center"/>
        <w:rPr>
          <w:szCs w:val="28"/>
        </w:rPr>
      </w:pPr>
    </w:p>
    <w:p w:rsidR="001A5A3A" w:rsidRDefault="001A5A3A" w:rsidP="001A5A3A">
      <w:pPr>
        <w:spacing w:after="0" w:line="240" w:lineRule="auto"/>
        <w:ind w:left="1932" w:hanging="1358"/>
        <w:jc w:val="both"/>
        <w:outlineLvl w:val="0"/>
      </w:pPr>
      <w:r>
        <w:rPr>
          <w:rFonts w:ascii="Times New Roman" w:hAnsi="Times New Roman"/>
          <w:b/>
          <w:sz w:val="28"/>
        </w:rPr>
        <w:t>Статья 8. Прогноз социально-экономического разв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>тия Чувашской Республики на долгосрочный период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Прогноз социально-экономического развития Чувашской Республики на долгосрочный период разрабатывается каждые шесть лет на двенадцать и более лет на основе прогноза социально-экономического развития Росси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ской Федерации на долгосрочный период с учетом прогноза научно-технологического развития Российской Федерации и данных, представля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мых органами исполнительной власти Чувашской Республики и органами местного самоуправления.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Корректировка прогноза социально-экономического развития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 на долгосрочный период осуществляется в соответствии с решением Кабинета Министров Чувашской Республики с учетом прогноза социально-экономического развития Чувашской Республики на среднесро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ный период.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Прогноз социально-экономического развития Чувашской Республики на долгосрочный период разрабатывается на вариативной основе.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4. Прогноз социально-экономического развития Чувашской Республики на долгосрочный период содержит положения, </w:t>
      </w:r>
      <w:r w:rsidRPr="001A5A3A">
        <w:rPr>
          <w:rFonts w:ascii="Times New Roman" w:hAnsi="Times New Roman"/>
          <w:sz w:val="28"/>
        </w:rPr>
        <w:t xml:space="preserve">предусмотренные </w:t>
      </w:r>
      <w:hyperlink r:id="rId7" w:history="1">
        <w:r w:rsidRPr="001A5A3A">
          <w:rPr>
            <w:rFonts w:ascii="Times New Roman" w:hAnsi="Times New Roman"/>
            <w:sz w:val="28"/>
          </w:rPr>
          <w:t>статьей 33</w:t>
        </w:r>
      </w:hyperlink>
      <w:r>
        <w:rPr>
          <w:rFonts w:ascii="Times New Roman" w:hAnsi="Times New Roman"/>
          <w:sz w:val="28"/>
        </w:rPr>
        <w:t xml:space="preserve"> Федерального закона.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Прогноз социально-экономического развития Чувашской Республики на долгосрочный период утверждается Кабинетом Министров Чувашской Республики.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6. Порядок разработки и корректировки прогноза социально-экономического развития Чувашской Республики на долгосрочный период определяется Кабинетом Министров Чувашской Республики.</w:t>
      </w:r>
    </w:p>
    <w:p w:rsidR="001A5A3A" w:rsidRDefault="001A5A3A" w:rsidP="001A5A3A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1A5A3A" w:rsidRDefault="001A5A3A" w:rsidP="001A5A3A">
      <w:pPr>
        <w:spacing w:after="0" w:line="240" w:lineRule="auto"/>
        <w:ind w:left="2016" w:hanging="1470"/>
        <w:jc w:val="both"/>
        <w:outlineLvl w:val="0"/>
      </w:pPr>
      <w:r>
        <w:rPr>
          <w:rFonts w:ascii="Times New Roman" w:hAnsi="Times New Roman"/>
          <w:b/>
          <w:sz w:val="28"/>
        </w:rPr>
        <w:t>Статья 10. Прогноз социально-экономического ра</w:t>
      </w:r>
      <w:r>
        <w:rPr>
          <w:rFonts w:ascii="Times New Roman" w:hAnsi="Times New Roman"/>
          <w:b/>
          <w:sz w:val="28"/>
        </w:rPr>
        <w:t>з</w:t>
      </w:r>
      <w:r>
        <w:rPr>
          <w:rFonts w:ascii="Times New Roman" w:hAnsi="Times New Roman"/>
          <w:b/>
          <w:sz w:val="28"/>
        </w:rPr>
        <w:t>вития Чувашской Республики на среднесрочный период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1. Прогноз социально-экономического развития Чувашской Республики на среднесрочный период разрабатывается ежегодно на основе прогноза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циально-экономического развития Российской Федерации на среднесрочный период, стратегии социально-экономического развития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 с учетом основных направлений бюджетной и налоговой политики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Прогноз социально-экономического развития Чувашской Республики на среднесрочный период разрабатывается на вариативной основе.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3. Прогноз социально-экономического развития Чувашской Республики на среднесрочный период содержит положения, </w:t>
      </w:r>
      <w:r w:rsidRPr="001A5A3A">
        <w:rPr>
          <w:rFonts w:ascii="Times New Roman" w:hAnsi="Times New Roman"/>
          <w:sz w:val="28"/>
        </w:rPr>
        <w:t xml:space="preserve">предусмотренные </w:t>
      </w:r>
      <w:hyperlink r:id="rId8" w:history="1">
        <w:r w:rsidRPr="001A5A3A">
          <w:rPr>
            <w:rFonts w:ascii="Times New Roman" w:hAnsi="Times New Roman"/>
            <w:sz w:val="28"/>
          </w:rPr>
          <w:t>статьей 35</w:t>
        </w:r>
      </w:hyperlink>
      <w:r>
        <w:rPr>
          <w:rFonts w:ascii="Times New Roman" w:hAnsi="Times New Roman"/>
          <w:sz w:val="28"/>
        </w:rPr>
        <w:t xml:space="preserve"> Федерального закона.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4. Прогноз социально-экономического развития Чувашской Республики на среднесрочный период </w:t>
      </w:r>
      <w:proofErr w:type="gramStart"/>
      <w:r>
        <w:rPr>
          <w:rFonts w:ascii="Times New Roman" w:hAnsi="Times New Roman"/>
          <w:sz w:val="28"/>
        </w:rPr>
        <w:t>одобряется Кабинетом Министров Чувашской Республики и учитывается</w:t>
      </w:r>
      <w:proofErr w:type="gramEnd"/>
      <w:r>
        <w:rPr>
          <w:rFonts w:ascii="Times New Roman" w:hAnsi="Times New Roman"/>
          <w:sz w:val="28"/>
        </w:rPr>
        <w:t xml:space="preserve"> при корректировке прогноза социально-экономического развития Чувашской Республики на долгосрочный период.</w:t>
      </w:r>
    </w:p>
    <w:p w:rsidR="001A5A3A" w:rsidRDefault="001A5A3A" w:rsidP="001A5A3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Порядок разработки и корректировки прогноза социально-экономического развития Чувашской Республики на среднесрочный период определяется Кабинетом Министров Чувашской Республики.</w:t>
      </w:r>
    </w:p>
    <w:p w:rsidR="001A5A3A" w:rsidRDefault="001A5A3A" w:rsidP="001A5A3A">
      <w:pPr>
        <w:spacing w:after="0" w:line="240" w:lineRule="auto"/>
        <w:jc w:val="both"/>
        <w:outlineLvl w:val="0"/>
      </w:pPr>
    </w:p>
    <w:p w:rsidR="001A5A3A" w:rsidRDefault="001A5A3A" w:rsidP="001A5A3A">
      <w:pPr>
        <w:spacing w:after="0" w:line="240" w:lineRule="auto"/>
        <w:jc w:val="both"/>
        <w:outlineLvl w:val="0"/>
      </w:pPr>
    </w:p>
    <w:p w:rsidR="001A5A3A" w:rsidRDefault="001A5A3A" w:rsidP="001A5A3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Глава</w:t>
      </w:r>
    </w:p>
    <w:p w:rsidR="001A5A3A" w:rsidRDefault="001A5A3A" w:rsidP="001A5A3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1A5A3A" w:rsidRDefault="001A5A3A" w:rsidP="001A5A3A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М.ИГНАТЬЕВ</w:t>
      </w:r>
    </w:p>
    <w:p w:rsidR="001A5A3A" w:rsidRDefault="001A5A3A" w:rsidP="001A5A3A">
      <w:pPr>
        <w:spacing w:after="0" w:line="240" w:lineRule="auto"/>
        <w:rPr>
          <w:rFonts w:ascii="Times New Roman" w:hAnsi="Times New Roman"/>
          <w:sz w:val="28"/>
        </w:rPr>
      </w:pPr>
    </w:p>
    <w:p w:rsidR="001A5A3A" w:rsidRDefault="001A5A3A" w:rsidP="001A5A3A">
      <w:pPr>
        <w:spacing w:after="0" w:line="240" w:lineRule="auto"/>
      </w:pPr>
      <w:bookmarkStart w:id="0" w:name="_GoBack"/>
      <w:bookmarkEnd w:id="0"/>
      <w:r>
        <w:rPr>
          <w:rFonts w:ascii="Times New Roman" w:hAnsi="Times New Roman"/>
          <w:sz w:val="28"/>
        </w:rPr>
        <w:t>г. Чебоксары</w:t>
      </w:r>
    </w:p>
    <w:p w:rsidR="001A5A3A" w:rsidRDefault="001A5A3A" w:rsidP="001A5A3A">
      <w:pPr>
        <w:spacing w:after="0" w:line="240" w:lineRule="auto"/>
      </w:pPr>
      <w:r>
        <w:rPr>
          <w:rFonts w:ascii="Times New Roman" w:hAnsi="Times New Roman"/>
          <w:sz w:val="28"/>
        </w:rPr>
        <w:t>13 февраля 2018 года</w:t>
      </w:r>
    </w:p>
    <w:p w:rsidR="001A5A3A" w:rsidRDefault="001A5A3A" w:rsidP="001A5A3A">
      <w:pPr>
        <w:spacing w:after="0" w:line="240" w:lineRule="auto"/>
      </w:pPr>
      <w:r>
        <w:rPr>
          <w:rFonts w:ascii="Times New Roman" w:hAnsi="Times New Roman"/>
          <w:sz w:val="28"/>
        </w:rPr>
        <w:t>№ 4</w:t>
      </w:r>
    </w:p>
    <w:sectPr w:rsidR="001A5A3A" w:rsidSect="00293F33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6" w:rsidRDefault="00CC4D06" w:rsidP="00FD6FD2">
      <w:pPr>
        <w:spacing w:after="0" w:line="240" w:lineRule="auto"/>
      </w:pPr>
      <w:r>
        <w:separator/>
      </w:r>
    </w:p>
  </w:endnote>
  <w:end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6" w:rsidRDefault="00CC4D06" w:rsidP="00FD6FD2">
      <w:pPr>
        <w:spacing w:after="0" w:line="240" w:lineRule="auto"/>
      </w:pPr>
      <w:r>
        <w:separator/>
      </w:r>
    </w:p>
  </w:footnote>
  <w:foot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1A5A3A">
      <w:rPr>
        <w:rFonts w:ascii="Times New Roman" w:hAnsi="Times New Roman"/>
        <w:noProof/>
        <w:sz w:val="24"/>
        <w:szCs w:val="24"/>
      </w:rPr>
      <w:t>2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5F7B"/>
    <w:rsid w:val="00193624"/>
    <w:rsid w:val="001A5A3A"/>
    <w:rsid w:val="001F196F"/>
    <w:rsid w:val="002877CD"/>
    <w:rsid w:val="00293F33"/>
    <w:rsid w:val="002A0655"/>
    <w:rsid w:val="002A3941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37C4"/>
    <w:rsid w:val="009A75AF"/>
    <w:rsid w:val="009C348B"/>
    <w:rsid w:val="009E48F0"/>
    <w:rsid w:val="00A43CE7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C4D06"/>
    <w:rsid w:val="00CD0E31"/>
    <w:rsid w:val="00CF2581"/>
    <w:rsid w:val="00CF4251"/>
    <w:rsid w:val="00D5086B"/>
    <w:rsid w:val="00D56015"/>
    <w:rsid w:val="00D969D8"/>
    <w:rsid w:val="00DA38EA"/>
    <w:rsid w:val="00DA3CA3"/>
    <w:rsid w:val="00DC0296"/>
    <w:rsid w:val="00DC08CC"/>
    <w:rsid w:val="00E24DA7"/>
    <w:rsid w:val="00E702D7"/>
    <w:rsid w:val="00ED6AA1"/>
    <w:rsid w:val="00EE1F19"/>
    <w:rsid w:val="00EE4EFF"/>
    <w:rsid w:val="00F47E28"/>
    <w:rsid w:val="00F60D5D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FFA449B60135168C3ECF16FE00500636CC99673BD2C9BA4404D48C677B11C0BCB2B077070C2E10A036C7D9358E3425F91EC82EC41215Ex7v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C42D682CE051AB76A0DCBE91A3DC22CBF1D485C12223DBEC02BC0C8934662E81B0554167B754BED5C3617E8AF1D992FF6428A233DC13CCo8v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consultantplus://offline/ref=46B4C3681E3AF057DD8DCE510C175EB3EB40E3BD40C1893FD978C9C4614E0A70704BCEBB121740D37262CD24233F41D4C6CD126D5F94179E2D7866G00CG</vt:lpwstr>
      </vt:variant>
      <vt:variant>
        <vt:lpwstr/>
      </vt:variant>
      <vt:variant>
        <vt:i4>2949174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consultantplus://offline/ref=46B4C3681E3AF057DD8DD05C1A7B00B7E143BBB948C28A6E8127929936470027370497F9561A41D674699C716C3E1D9393DE106C5F971681G207G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consultantplus://offline/ref=46B4C3681E3AF057DD8DD05C1A7B00B7E143BBB948C28A6E8127929936470027370497F9561A41D572699C716C3E1D9393DE106C5F971681G207G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consultantplus://offline/ref=46B4C3681E3AF057DD8DD05C1A7B00B7E143BBB948C28A6E8127929936470027370497F9561A40DA73699C716C3E1D9393DE106C5F971681G207G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3</cp:revision>
  <cp:lastPrinted>2019-08-19T10:50:00Z</cp:lastPrinted>
  <dcterms:created xsi:type="dcterms:W3CDTF">2019-08-19T10:46:00Z</dcterms:created>
  <dcterms:modified xsi:type="dcterms:W3CDTF">2019-08-19T10:50:00Z</dcterms:modified>
</cp:coreProperties>
</file>